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pPr>
      <w:r>
        <w:rPr>
          <w:b/>
          <w:sz w:val="48"/>
        </w:rPr>
        <w:t>竞 争 性 谈 判 文 件</w:t>
      </w:r>
      <w:r>
        <w:br/>
      </w:r>
      <w:r>
        <w:br/>
      </w:r>
      <w:r>
        <w:br/>
      </w:r>
    </w:p>
    <w:p>
      <w:pPr>
        <w:pStyle w:val="null3"/>
        <w:jc w:val="center"/>
      </w:pPr>
      <w:r>
        <w:rPr>
          <w:b/>
          <w:sz w:val="36"/>
        </w:rPr>
        <w:t>（货物类）</w:t>
      </w:r>
      <w:r>
        <w:br/>
      </w:r>
      <w:r>
        <w:br/>
      </w:r>
      <w:r>
        <w:br/>
      </w:r>
      <w:r>
        <w:br/>
      </w:r>
      <w:r>
        <w:br/>
      </w:r>
      <w:r>
        <w:br/>
      </w:r>
      <w:r>
        <w:br/>
      </w:r>
      <w:r>
        <w:br/>
      </w:r>
      <w:r>
        <w:br/>
      </w:r>
      <w:r>
        <w:br/>
      </w:r>
      <w:r>
        <w:br/>
      </w:r>
    </w:p>
    <w:p>
      <w:pPr>
        <w:pStyle w:val="null3"/>
        <w:jc w:val="center"/>
      </w:pPr>
      <w:r>
        <w:rPr>
          <w:b/>
          <w:sz w:val="28"/>
        </w:rPr>
        <w:t>采购项目名称：</w:t>
      </w:r>
      <w:r>
        <w:rPr>
          <w:b/>
          <w:sz w:val="28"/>
        </w:rPr>
        <w:t>运行指挥中心LED大屏显示系统建设</w:t>
      </w:r>
    </w:p>
    <w:p>
      <w:pPr>
        <w:pStyle w:val="null3"/>
        <w:jc w:val="center"/>
      </w:pPr>
      <w:r>
        <w:rPr>
          <w:b/>
          <w:sz w:val="28"/>
        </w:rPr>
        <w:t>采购项目编号：</w:t>
      </w:r>
      <w:r>
        <w:rPr>
          <w:b/>
          <w:sz w:val="28"/>
        </w:rPr>
        <w:t>N5100012022002758</w:t>
      </w:r>
      <w:r>
        <w:br/>
      </w:r>
      <w:r>
        <w:br/>
      </w:r>
      <w:r>
        <w:br/>
      </w:r>
    </w:p>
    <w:p>
      <w:pPr>
        <w:pStyle w:val="null3"/>
        <w:jc w:val="center"/>
      </w:pPr>
      <w:r>
        <w:rPr>
          <w:b/>
          <w:sz w:val="28"/>
        </w:rPr>
        <w:t>四川省教育信息化与大数据中心（四川省电化教育馆）</w:t>
      </w:r>
    </w:p>
    <w:p>
      <w:pPr>
        <w:pStyle w:val="null3"/>
        <w:jc w:val="center"/>
      </w:pPr>
      <w:r>
        <w:rPr>
          <w:b/>
          <w:sz w:val="28"/>
        </w:rPr>
        <w:t>四川省政府采购中心</w:t>
      </w:r>
      <w:r>
        <w:rPr>
          <w:b/>
          <w:sz w:val="28"/>
        </w:rPr>
        <w:t>共同编制</w:t>
      </w:r>
    </w:p>
    <w:p>
      <w:pPr>
        <w:pStyle w:val="null3"/>
        <w:jc w:val="center"/>
      </w:pPr>
      <w:r>
        <w:rPr>
          <w:b/>
          <w:sz w:val="28"/>
        </w:rPr>
        <w:t>2022年10月29日</w:t>
      </w:r>
    </w:p>
    <w:p>
      <w:pPr>
        <w:pStyle w:val="null3"/>
        <w:jc w:val="center"/>
      </w:pPr>
      <w:r>
        <w:rPr>
          <w:b/>
          <w:sz w:val="36"/>
        </w:rPr>
        <w:t>第一章 竞争性谈判邀请</w:t>
      </w:r>
    </w:p>
    <w:p>
      <w:pPr>
        <w:pStyle w:val="null3"/>
        <w:ind w:firstLine="480"/>
      </w:pPr>
      <w:r>
        <w:rPr/>
        <w:t>四川省政府采购中心</w:t>
      </w:r>
      <w:r>
        <w:rPr/>
        <w:t>（以下简称“代理机构”）受</w:t>
      </w:r>
      <w:r>
        <w:rPr/>
        <w:t>四川省教育信息化与大数据中心（四川省电化教育馆）</w:t>
      </w:r>
      <w:r>
        <w:rPr/>
        <w:t>委托，拟对</w:t>
      </w:r>
      <w:r>
        <w:rPr/>
        <w:t>运行指挥中心LED大屏显示系统建设</w:t>
      </w:r>
      <w:r>
        <w:rPr/>
        <w:t>采用竞争性谈判采购方式进行采购，兹邀请供应商参加本项目的竞争性谈判。</w:t>
      </w:r>
    </w:p>
    <w:p>
      <w:pPr>
        <w:pStyle w:val="null3"/>
      </w:pPr>
      <w:r>
        <w:rPr>
          <w:b/>
          <w:sz w:val="28"/>
        </w:rPr>
        <w:t>一、项目编号：</w:t>
      </w:r>
      <w:r>
        <w:rPr>
          <w:b/>
          <w:sz w:val="28"/>
        </w:rPr>
        <w:t>N5100012022002758</w:t>
      </w:r>
    </w:p>
    <w:p>
      <w:pPr>
        <w:pStyle w:val="null3"/>
      </w:pPr>
      <w:r>
        <w:rPr>
          <w:b/>
          <w:sz w:val="28"/>
        </w:rPr>
        <w:t>二、项目名称：</w:t>
      </w:r>
      <w:r>
        <w:rPr>
          <w:b/>
          <w:sz w:val="28"/>
        </w:rPr>
        <w:t>运行指挥中心LED大屏显示系统建设</w:t>
      </w:r>
    </w:p>
    <w:p>
      <w:pPr>
        <w:pStyle w:val="null3"/>
      </w:pPr>
      <w:r>
        <w:rPr>
          <w:b/>
          <w:sz w:val="28"/>
        </w:rPr>
        <w:t>三、谈判项目简介：</w:t>
      </w:r>
    </w:p>
    <w:p>
      <w:pPr>
        <w:pStyle w:val="null3"/>
        <w:ind w:firstLine="480"/>
      </w:pPr>
      <w:r>
        <w:rPr/>
        <w:t>本项目共一个包，采购LED大屏显示系统建设供应商。</w:t>
      </w:r>
    </w:p>
    <w:p>
      <w:pPr>
        <w:pStyle w:val="null3"/>
      </w:pPr>
      <w:r>
        <w:rPr>
          <w:b/>
          <w:sz w:val="28"/>
        </w:rPr>
        <w:t>四、邀请供应商：</w:t>
      </w:r>
    </w:p>
    <w:p>
      <w:pPr>
        <w:pStyle w:val="null3"/>
      </w:pPr>
    </w:p>
    <w:p>
      <w:pPr>
        <w:pStyle w:val="null3"/>
      </w:pPr>
    </w:p>
    <w:p>
      <w:pPr>
        <w:pStyle w:val="null3"/>
      </w:pPr>
      <w:r>
        <w:rPr/>
        <w:t>本次采购采取公告征集邀请谈判的供应商。</w:t>
      </w:r>
    </w:p>
    <w:p>
      <w:pPr>
        <w:pStyle w:val="null3"/>
      </w:pPr>
      <w:r>
        <w:rPr/>
        <w:t>公告征集：本次竞争性谈判邀请在四川政府采购网（www.ccgp-sichuan.gov.cn）上以公告形式发布，公告期限自公告发布之日起3个工作日。</w:t>
      </w:r>
    </w:p>
    <w:p>
      <w:pPr>
        <w:pStyle w:val="null3"/>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无</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无</w:t>
      </w:r>
    </w:p>
    <w:p>
      <w:pPr>
        <w:pStyle w:val="null3"/>
      </w:pPr>
      <w:r>
        <w:rPr>
          <w:b/>
          <w:sz w:val="28"/>
        </w:rPr>
        <w:t>六、电子化采购相关事项</w:t>
      </w:r>
    </w:p>
    <w:p>
      <w:pPr>
        <w:pStyle w:val="null3"/>
        <w:ind w:firstLine="480"/>
      </w:pPr>
      <w:r>
        <w:rPr/>
        <w:t>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pPr>
      <w:r>
        <w:rPr>
          <w:b/>
          <w:sz w:val="28"/>
        </w:rPr>
        <w:t>十一、联系方式</w:t>
      </w:r>
    </w:p>
    <w:p>
      <w:pPr>
        <w:pStyle w:val="null3"/>
      </w:pPr>
      <w:r>
        <w:rPr>
          <w:b/>
          <w:sz w:val="24"/>
        </w:rPr>
        <w:t>采购人：</w:t>
      </w:r>
      <w:r>
        <w:rPr>
          <w:b/>
          <w:sz w:val="24"/>
        </w:rPr>
        <w:t>四川省教育信息化与大数据中心（四川省电化教育馆）</w:t>
      </w:r>
    </w:p>
    <w:p>
      <w:pPr>
        <w:pStyle w:val="null3"/>
      </w:pPr>
    </w:p>
    <w:p>
      <w:pPr>
        <w:pStyle w:val="null3"/>
      </w:pPr>
    </w:p>
    <w:p>
      <w:pPr>
        <w:pStyle w:val="null3"/>
      </w:pPr>
      <w:r>
        <w:rPr/>
        <w:t>地址：</w:t>
      </w:r>
      <w:r>
        <w:rPr/>
        <w:t>成都市陕西街26号</w:t>
      </w:r>
    </w:p>
    <w:p>
      <w:pPr>
        <w:pStyle w:val="null3"/>
      </w:pPr>
      <w:r>
        <w:rPr/>
        <w:t>邮编：</w:t>
      </w:r>
      <w:r>
        <w:rPr/>
        <w:t>610000</w:t>
      </w:r>
    </w:p>
    <w:p>
      <w:pPr>
        <w:pStyle w:val="null3"/>
      </w:pPr>
      <w:r>
        <w:rPr/>
        <w:t>联系人：</w:t>
      </w:r>
      <w:r>
        <w:rPr/>
        <w:t>杨老师</w:t>
      </w:r>
    </w:p>
    <w:p>
      <w:pPr>
        <w:pStyle w:val="null3"/>
      </w:pPr>
      <w:r>
        <w:rPr/>
        <w:t>联系电话：</w:t>
      </w:r>
      <w:r>
        <w:rPr/>
        <w:t>18628100174</w:t>
      </w:r>
    </w:p>
    <w:p>
      <w:pPr>
        <w:pStyle w:val="null3"/>
      </w:pPr>
      <w:r>
        <w:rPr>
          <w:b/>
          <w:sz w:val="24"/>
        </w:rPr>
        <w:t>代理机构：</w:t>
      </w:r>
      <w:r>
        <w:rPr>
          <w:b/>
          <w:sz w:val="24"/>
        </w:rPr>
        <w:t>四川省政府采购中心</w:t>
      </w:r>
    </w:p>
    <w:p>
      <w:pPr>
        <w:pStyle w:val="null3"/>
      </w:pPr>
    </w:p>
    <w:p>
      <w:pPr>
        <w:pStyle w:val="null3"/>
      </w:pPr>
    </w:p>
    <w:p>
      <w:pPr>
        <w:pStyle w:val="null3"/>
      </w:pPr>
      <w:r>
        <w:rPr/>
        <w:t>地址：</w:t>
      </w:r>
      <w:r>
        <w:rPr/>
        <w:t>四川省成都市青羊区顺城大街222号或鼓楼南街101号（丰德成达中心10层）</w:t>
      </w:r>
    </w:p>
    <w:p>
      <w:pPr>
        <w:pStyle w:val="null3"/>
      </w:pPr>
      <w:r>
        <w:rPr/>
        <w:t>邮编：</w:t>
      </w:r>
      <w:r>
        <w:rPr/>
        <w:t>610000</w:t>
      </w:r>
    </w:p>
    <w:p>
      <w:pPr>
        <w:pStyle w:val="null3"/>
      </w:pPr>
      <w:r>
        <w:rPr/>
        <w:t>联系人：</w:t>
      </w:r>
      <w:r>
        <w:rPr/>
        <w:t>余老师</w:t>
      </w:r>
    </w:p>
    <w:p>
      <w:pPr>
        <w:pStyle w:val="null3"/>
      </w:pPr>
      <w:r>
        <w:rPr/>
        <w:t>联系电话：</w:t>
      </w:r>
      <w:r>
        <w:rPr/>
        <w:t>028-61323020</w:t>
      </w:r>
    </w:p>
    <w:p>
      <w:pPr>
        <w:pStyle w:val="null3"/>
      </w:pPr>
      <w:r>
        <w:rPr>
          <w:b/>
          <w:sz w:val="24"/>
        </w:rPr>
        <w:t>采购监督机构：</w:t>
      </w:r>
      <w:r>
        <w:rPr>
          <w:b/>
          <w:sz w:val="24"/>
        </w:rPr>
        <w:t>四川省财政厅政府采购处</w:t>
      </w:r>
    </w:p>
    <w:p>
      <w:pPr>
        <w:pStyle w:val="null3"/>
        <w:ind w:firstLine="480"/>
      </w:pPr>
      <w:r>
        <w:rPr/>
        <w:t>联系人：</w:t>
      </w:r>
      <w:r>
        <w:rPr/>
        <w:t>肖老师、孙老师</w:t>
      </w:r>
    </w:p>
    <w:p>
      <w:pPr>
        <w:pStyle w:val="null3"/>
        <w:ind w:firstLine="480"/>
      </w:pPr>
      <w:r>
        <w:rPr/>
        <w:t>联系电话：</w:t>
      </w:r>
      <w:r>
        <w:rPr/>
        <w:t>028-86725927、028-86662797</w:t>
      </w:r>
    </w:p>
    <w:p>
      <w:pPr>
        <w:pStyle w:val="null3"/>
      </w:pPr>
    </w:p>
    <w:p>
      <w:pPr>
        <w:pStyle w:val="null3"/>
      </w:pPr>
      <w:r>
        <w:rPr/>
        <w:t xml:space="preserve"> </w:t>
      </w:r>
    </w:p>
    <w:p>
      <w:pPr>
        <w:pStyle w:val="null3"/>
        <w:jc w:val="center"/>
      </w:pPr>
      <w:r>
        <w:rPr>
          <w:b/>
          <w:sz w:val="36"/>
        </w:rPr>
        <w:t>第二章 供应商须知</w:t>
      </w:r>
    </w:p>
    <w:p>
      <w:pPr>
        <w:pStyle w:val="null3"/>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r>
              <w:rPr/>
              <w:t>采购包1：800,000.00元</w:t>
            </w: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w:t>
            </w:r>
            <w:r>
              <w:rPr/>
              <w:t>如以联合体响应的，联合体各方均应当具备本谈判文件要求的资格条件和能力。</w:t>
            </w:r>
          </w:p>
          <w:p>
            <w:pPr>
              <w:pStyle w:val="null3"/>
            </w:pPr>
            <w:r>
              <w:rPr/>
              <w:t>（1）联合体各方均应具有承担本谈判项目必备的条件，如相应的人力、物力、资金等。</w:t>
            </w:r>
          </w:p>
          <w:p>
            <w:pPr>
              <w:pStyle w:val="null3"/>
            </w:pPr>
            <w:r>
              <w:rPr/>
              <w:t>（2）谈判文件对供应商资格条件有特殊要求的，联合体各个成员都应当具备规定的相应资格条件。</w:t>
            </w:r>
          </w:p>
          <w:p>
            <w:pPr>
              <w:pStyle w:val="null3"/>
            </w:pPr>
            <w:r>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产品属于环境标志产品政府采购品目清单中应优先采购的产品范围，响应报价相同的，按供应商提供的优先采购产品认证证书数量由多到少顺序排列。</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w:t>
            </w:r>
            <w:r>
              <w:rPr/>
              <w:t>产品属于信息安全产品，根据《关于信息安全产品实施政府采购的通知》（财库〔2010〕48号）的要求，供应商应当提供由中国网络安全审查技术与认证中心按国家标准认证颁发的有效认证证书和销售许可证，否则其响应文件将被视为无效响应处理。具体详见《信息安全产品强制性认证目录》。（实质性要求）</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采购包1：缴纳</w:t>
            </w:r>
          </w:p>
          <w:p>
            <w:pPr>
              <w:pStyle w:val="null3"/>
            </w:pPr>
            <w:r>
              <w:rPr/>
              <w:t>本采购包履约保证金为合同金额的5%</w:t>
            </w:r>
          </w:p>
          <w:p>
            <w:pPr>
              <w:pStyle w:val="null3"/>
            </w:pPr>
            <w:r>
              <w:rPr/>
              <w:t>说明：履约保证金：合同总金额的5% 交款方式：履约保证金可以以支票、汇票、本票或者金融机构出具的保函等非现金形式提交（包括网银转账，电汇等方式）。 收款单位：四川省教育信息化与大数据中心（四川省电化教育馆）。 开 户 行：工行成都滨江支行。 银行账号：4402 2040 0910 0188 684。 行号：1026 5102 0408。 交款时间：成交通知书发放后，政府采购合同签订前。 履约保证金退还方式：原路退还。 履约保证金退还时间：履约保证金在采购项目验收合格后10日内退还供应商。 履约保证金不予退还情形：验收不合格或未按照合同约定履行相关责任。 履约保证金不予退还的，将按照有关规定上缴国库。逾期退还履约保证金的，将依法承担法律责任，并赔偿供应商损失。</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提交响应文件的截止之日起不少于</w:t>
            </w:r>
            <w:r>
              <w:rPr/>
              <w:t>120</w:t>
            </w:r>
            <w:r>
              <w:rPr/>
              <w:t>天。</w:t>
            </w:r>
          </w:p>
        </w:tc>
      </w:tr>
      <w:tr>
        <w:tc>
          <w:tcPr>
            <w:tcW w:type="dxa" w:w="1051"/>
          </w:tcPr>
          <w:p>
            <w:pPr>
              <w:pStyle w:val="null3"/>
            </w:pPr>
            <w:r>
              <w:rPr/>
              <w:t>12</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pPr>
      <w:r>
        <w:rPr>
          <w:b/>
          <w:sz w:val="28"/>
        </w:rPr>
        <w:t>2.2、总则</w:t>
      </w:r>
    </w:p>
    <w:p>
      <w:pPr>
        <w:pStyle w:val="null3"/>
        <w:ind w:firstLine="480"/>
      </w:pPr>
      <w:r>
        <w:rPr/>
        <w:t>（一）适用范围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四川省教育信息化与大数据中心（四川省电化教育馆）</w:t>
      </w:r>
      <w:r>
        <w:rPr/>
        <w:t>和</w:t>
      </w:r>
      <w:r>
        <w:rPr/>
        <w:t>四川省政府采购中心</w:t>
      </w:r>
      <w:r>
        <w:rPr/>
        <w:t>享有。竞争性谈判文件中供应商参加本次政府采购活动应当具备的条件、技术清单、参数、商务及其他要求由</w:t>
      </w:r>
      <w:r>
        <w:rPr/>
        <w:t>四川省教育信息化与大数据中心（四川省电化教育馆）</w:t>
      </w:r>
      <w:r>
        <w:rPr/>
        <w:t>负责解释。除上述竞争性谈判文件内容，其他内容由</w:t>
      </w:r>
      <w:r>
        <w:rPr/>
        <w:t>四川省政府采购中心</w:t>
      </w:r>
      <w:r>
        <w:rPr/>
        <w:t>负责解释。</w:t>
      </w:r>
    </w:p>
    <w:p>
      <w:pPr>
        <w:pStyle w:val="null3"/>
        <w:ind w:firstLine="480"/>
      </w:pPr>
      <w:r>
        <w:rPr/>
        <w:t>（二）有关定义</w:t>
      </w:r>
    </w:p>
    <w:p>
      <w:pPr>
        <w:pStyle w:val="null3"/>
        <w:ind w:firstLine="480"/>
      </w:pPr>
      <w:r>
        <w:rPr/>
        <w:t>1.“采购人”是指依法进行政府采购的各级国家机关、事业单位、团体组织。本次谈判的采购人是</w:t>
      </w:r>
      <w:r>
        <w:rPr/>
        <w:t>四川省教育信息化与大数据中心（四川省电化教育馆）</w:t>
      </w:r>
      <w:r>
        <w:rPr/>
        <w:t>。</w:t>
      </w:r>
    </w:p>
    <w:p>
      <w:pPr>
        <w:pStyle w:val="null3"/>
        <w:ind w:firstLine="480"/>
      </w:pPr>
      <w:r>
        <w:rPr/>
        <w:t>2.“供应商”是指在按照采购公告规定获取谈判文件，拟参加响应和向采购人提供货物的法人、其他组织或自然人。</w:t>
      </w:r>
    </w:p>
    <w:p>
      <w:pPr>
        <w:pStyle w:val="null3"/>
        <w:ind w:firstLine="480"/>
      </w:pPr>
      <w:r>
        <w:rPr/>
        <w:t>3.“代理机构”是指集中采购机构和集中采购机构以外的代理机构。本项目的代理机构是</w:t>
      </w:r>
      <w:r>
        <w:rPr/>
        <w:t>四川省政府采购中心</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5.“电子评审”是指通过项目电子化交易系统在线完成谈判小组组建，开展资格和符合性审查、出具谈判报告、推荐成交候选供应商等活动。</w:t>
      </w:r>
    </w:p>
    <w:p>
      <w:pPr>
        <w:pStyle w:val="null3"/>
      </w:pPr>
      <w:r>
        <w:rPr>
          <w:b/>
          <w:sz w:val="28"/>
        </w:rPr>
        <w:t>2.3、竞争性谈判文件</w:t>
      </w:r>
    </w:p>
    <w:p>
      <w:pPr>
        <w:pStyle w:val="null3"/>
      </w:pPr>
      <w:r>
        <w:rPr>
          <w:b/>
          <w:sz w:val="24"/>
        </w:rPr>
        <w:t>2.3.1竞争性谈判文件的构成</w:t>
      </w:r>
    </w:p>
    <w:p>
      <w:pPr>
        <w:pStyle w:val="null3"/>
        <w:ind w:firstLine="480"/>
      </w:pPr>
      <w:r>
        <w:rPr/>
        <w:t>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pPr>
      <w:r>
        <w:rPr>
          <w:b/>
          <w:sz w:val="28"/>
        </w:rPr>
        <w:t>2.4、响应文件</w:t>
      </w:r>
    </w:p>
    <w:p>
      <w:pPr>
        <w:pStyle w:val="nul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pPr>
      <w:r>
        <w:rPr>
          <w:b/>
          <w:sz w:val="24"/>
        </w:rPr>
        <w:t>2.4.2计量单位（实质性要求）</w:t>
      </w:r>
    </w:p>
    <w:p>
      <w:pPr>
        <w:pStyle w:val="null3"/>
        <w:ind w:firstLine="480"/>
      </w:pPr>
      <w:r>
        <w:rPr/>
        <w:t>除谈判文件中另有规定外，本项目均采用国家法定的计量单位。</w:t>
      </w:r>
    </w:p>
    <w:p>
      <w:pPr>
        <w:pStyle w:val="null3"/>
      </w:pPr>
      <w:r>
        <w:rPr>
          <w:b/>
          <w:sz w:val="24"/>
        </w:rPr>
        <w:t>2.4.3响应货币（实质性要求）</w:t>
      </w:r>
    </w:p>
    <w:p>
      <w:pPr>
        <w:pStyle w:val="null3"/>
        <w:ind w:firstLine="480"/>
      </w:pPr>
      <w:r>
        <w:rPr/>
        <w:t>本次项目均以人民币报价。</w:t>
      </w:r>
    </w:p>
    <w:p>
      <w:pPr>
        <w:pStyle w:val="nul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pPr>
      <w:r>
        <w:rPr>
          <w:b/>
          <w:sz w:val="24"/>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响应文件具体内容详见第六章。</w:t>
      </w:r>
    </w:p>
    <w:p>
      <w:pPr>
        <w:pStyle w:val="nul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pPr>
      <w:r>
        <w:rPr>
          <w:b/>
          <w:sz w:val="24"/>
        </w:rPr>
        <w:t>2.4.7响应报价（实质性要求）</w:t>
      </w:r>
    </w:p>
    <w:p>
      <w:pPr>
        <w:pStyle w:val="null3"/>
        <w:ind w:firstLine="480"/>
      </w:pPr>
      <w:r>
        <w:rPr/>
        <w:t>一、供应商的报价是供应商响应谈判项目要求的全部工作内容的价格体现，包括供应商完成本项目所需的一切费用。</w:t>
      </w:r>
    </w:p>
    <w:p>
      <w:pPr>
        <w:pStyle w:val="null3"/>
        <w:ind w:firstLine="480"/>
      </w:pPr>
      <w:r>
        <w:rPr/>
        <w:t>二、响应文件报价出现前后不一致的，按照谈判文件第五章谈判办法规定予以修正，修正后的报价经供应商以书面形式通过项目电子化交易系统进行确认，并加盖供应商（法定名称）电子印章，供应商逾时确认的，其响应无效。</w:t>
      </w:r>
    </w:p>
    <w:p>
      <w:pPr>
        <w:pStyle w:val="null3"/>
      </w:pPr>
      <w:r>
        <w:rPr>
          <w:b/>
          <w:sz w:val="24"/>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pPr>
      <w:r>
        <w:rPr>
          <w:b/>
          <w:sz w:val="24"/>
        </w:rPr>
        <w:t>2.4.9响应文件的制作、签章和加密（实质性要求）</w:t>
      </w:r>
    </w:p>
    <w:p>
      <w:pPr>
        <w:pStyle w:val="null3"/>
        <w:ind w:firstLine="480"/>
      </w:pPr>
      <w:r>
        <w:rPr/>
        <w:t>一、响应文件应当根据谈判通知书进行编制。供应商应通过四川政府采购网-办事指南下载响应客户端，使用客户端编制响应文件。</w:t>
      </w:r>
    </w:p>
    <w:p>
      <w:pPr>
        <w:pStyle w:val="null3"/>
        <w:ind w:firstLine="480"/>
      </w:pPr>
      <w:r>
        <w:rPr/>
        <w:t>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三、供应商完成响应文件编制后，应按照响应文件第1章明确的签章要求，使用互认的证书及签章对响应文件进行电子签章和加密。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pPr>
      <w:r>
        <w:rPr>
          <w:b/>
          <w:sz w:val="24"/>
        </w:rPr>
        <w:t>2.4.11响应文件的补充、修改和撤回（实质性要求）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pPr>
      <w:r>
        <w:rPr>
          <w:b/>
          <w:sz w:val="28"/>
        </w:rPr>
        <w:t>2.5、开启、资格审查、谈判和确定成交供应商</w:t>
      </w:r>
    </w:p>
    <w:p>
      <w:pPr>
        <w:pStyle w:val="null3"/>
      </w:pPr>
      <w:r>
        <w:rPr>
          <w:b/>
          <w:sz w:val="24"/>
        </w:rPr>
        <w:t>2.5.1谈判开启程序</w:t>
      </w:r>
    </w:p>
    <w:p>
      <w:pPr>
        <w:pStyle w:val="null3"/>
        <w:ind w:firstLine="480"/>
      </w:pPr>
      <w:r>
        <w:rPr/>
        <w:t>一、本项目为竞争性谈判项目。网上开启的开始时间为响应文件提交截止时间。成功提交或成功提交和解密电子响应文件的供应商不足3家的，不予开启，采购人或代理机构将终止采购活动。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pPr>
      <w:r>
        <w:rPr>
          <w:b/>
          <w:sz w:val="24"/>
        </w:rPr>
        <w:t>2.5.3资格审查</w:t>
      </w:r>
    </w:p>
    <w:p>
      <w:pPr>
        <w:pStyle w:val="null3"/>
        <w:ind w:firstLine="480"/>
      </w:pPr>
      <w:r>
        <w:rPr/>
        <w:t>详见谈判文件第四章。</w:t>
      </w:r>
    </w:p>
    <w:p>
      <w:pPr>
        <w:pStyle w:val="null3"/>
      </w:pPr>
      <w:r>
        <w:rPr>
          <w:b/>
          <w:sz w:val="24"/>
        </w:rPr>
        <w:t>2.5.4谈判</w:t>
      </w:r>
    </w:p>
    <w:p>
      <w:pPr>
        <w:pStyle w:val="null3"/>
        <w:ind w:firstLine="480"/>
      </w:pPr>
      <w:r>
        <w:rPr/>
        <w:t>详见谈判文件第五章。</w:t>
      </w:r>
    </w:p>
    <w:p>
      <w:pPr>
        <w:pStyle w:val="null3"/>
      </w:pPr>
      <w:r>
        <w:rPr>
          <w:b/>
          <w:sz w:val="24"/>
        </w:rPr>
        <w:t>2.5.5、成交通知书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pPr>
      <w:r>
        <w:rPr>
          <w:b/>
          <w:sz w:val="28"/>
        </w:rPr>
        <w:t>2.6、签订及履行合同和验收</w:t>
      </w:r>
    </w:p>
    <w:p>
      <w:pPr>
        <w:pStyle w:val="nul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pPr>
      <w:r>
        <w:rPr>
          <w:b/>
          <w:sz w:val="24"/>
        </w:rPr>
        <w:t>2.6.2合同分包和转包（实质性要求）</w:t>
      </w:r>
    </w:p>
    <w:p>
      <w:pPr>
        <w:pStyle w:val="null3"/>
      </w:pPr>
      <w:r>
        <w:rPr>
          <w:b/>
          <w:sz w:val="24"/>
        </w:rPr>
        <w:t>2.6.2.1合同分包</w:t>
      </w:r>
    </w:p>
    <w:p>
      <w:pPr>
        <w:pStyle w:val="null3"/>
        <w:ind w:firstLine="480"/>
      </w:pPr>
      <w:r>
        <w:rPr/>
        <w:t>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pPr>
      <w:r>
        <w:rPr>
          <w:b/>
          <w:sz w:val="24"/>
        </w:rPr>
        <w:t>2.6.2.2合同转包</w:t>
      </w:r>
    </w:p>
    <w:p>
      <w:pPr>
        <w:pStyle w:val="null3"/>
        <w:ind w:firstLine="480"/>
      </w:pPr>
      <w:r>
        <w:rPr/>
        <w:t>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pPr>
      <w:r>
        <w:rPr>
          <w:b/>
          <w:sz w:val="24"/>
        </w:rPr>
        <w:t>2.6.3采购人增加合同标的的权利</w:t>
      </w:r>
    </w:p>
    <w:p>
      <w:pPr>
        <w:pStyle w:val="null3"/>
        <w:ind w:firstLine="480"/>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b/>
          <w:sz w:val="28"/>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pPr>
      <w:r>
        <w:rPr>
          <w:b/>
          <w:sz w:val="28"/>
        </w:rPr>
        <w:t>2.6.5履约验收方案</w:t>
      </w:r>
    </w:p>
    <w:p>
      <w:pPr>
        <w:pStyle w:val="null3"/>
      </w:pPr>
    </w:p>
    <w:p>
      <w:pPr>
        <w:pStyle w:val="null3"/>
      </w:pPr>
    </w:p>
    <w:p>
      <w:pPr>
        <w:pStyle w:val="null3"/>
      </w:pPr>
    </w:p>
    <w:p>
      <w:pPr>
        <w:pStyle w:val="null3"/>
      </w:pPr>
      <w:r>
        <w:rPr/>
        <w:t>采购包1：</w:t>
      </w:r>
    </w:p>
    <w:p>
      <w:pPr>
        <w:pStyle w:val="null3"/>
      </w:pPr>
      <w:r>
        <w:rPr/>
        <w:t>严格按照《财政部关于进一步加强政府采购需求和履约验收管理的指导意见》（财库〔2016〕205号）等政府采购相关法律法规的要求进行验收。</w:t>
      </w:r>
    </w:p>
    <w:p>
      <w:pPr>
        <w:pStyle w:val="null3"/>
      </w:pPr>
      <w:r>
        <w:rPr>
          <w:b/>
          <w:sz w:val="28"/>
        </w:rPr>
        <w:t>2.6.6资金支付</w:t>
      </w:r>
    </w:p>
    <w:p>
      <w:pPr>
        <w:pStyle w:val="null3"/>
        <w:ind w:firstLine="480"/>
      </w:pPr>
      <w:r>
        <w:rPr/>
        <w:t>采购人按财政部门的相关规定及采购合同的约定进行支付。</w:t>
      </w:r>
    </w:p>
    <w:p>
      <w:pPr>
        <w:pStyle w:val="null3"/>
      </w:pPr>
      <w:r>
        <w:rPr>
          <w:b/>
          <w:sz w:val="28"/>
        </w:rPr>
        <w:t>2.7、竞争性谈判工作纪律及要求</w:t>
      </w:r>
    </w:p>
    <w:p>
      <w:pPr>
        <w:pStyle w:val="nul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五、向采购人或代理机构、协商小组成员行贿或者提供其他不正当利益；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供应商有上述情形的，按照规定追究法律责任，具有前述一至十三条情形之一的，其响应文件无效，或取消被确认为成交供应商的资格或认定成交无效。</w:t>
      </w:r>
    </w:p>
    <w:p>
      <w:pPr>
        <w:pStyle w:val="nul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四川省教育信息化与大数据中心（四川省电化教育馆）</w:t>
      </w:r>
      <w:r>
        <w:rPr/>
        <w:t>负责答复；供应商对除采购需求外的采购文件的询问、质疑由</w:t>
      </w:r>
      <w:r>
        <w:rPr/>
        <w:t>四川省政府采购中心</w:t>
      </w:r>
      <w:r>
        <w:rPr/>
        <w:t>负责答复；供应商对采购过程、采购结果的询问、质疑由</w:t>
      </w:r>
      <w:r>
        <w:rPr/>
        <w:t>四川省政府采购中心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答复主体：采购单位</w:t>
      </w:r>
    </w:p>
    <w:p>
      <w:pPr>
        <w:pStyle w:val="null3"/>
      </w:pPr>
      <w:r>
        <w:rPr/>
        <w:t>联系人：杨老师</w:t>
      </w:r>
    </w:p>
    <w:p>
      <w:pPr>
        <w:pStyle w:val="null3"/>
      </w:pPr>
      <w:r>
        <w:rPr/>
        <w:t>联系电话：18628100174</w:t>
      </w:r>
    </w:p>
    <w:p>
      <w:pPr>
        <w:pStyle w:val="null3"/>
      </w:pPr>
      <w:r>
        <w:rPr/>
        <w:t>地址：成都市陕西街26号</w:t>
      </w:r>
    </w:p>
    <w:p>
      <w:pPr>
        <w:pStyle w:val="null3"/>
      </w:pPr>
      <w:r>
        <w:rPr/>
        <w:t>邮编：610000</w:t>
      </w:r>
    </w:p>
    <w:p>
      <w:pPr>
        <w:pStyle w:val="null3"/>
      </w:pPr>
      <w:r>
        <w:rPr/>
        <w:t>答复主体：代理机构</w:t>
      </w:r>
    </w:p>
    <w:p>
      <w:pPr>
        <w:pStyle w:val="null3"/>
      </w:pPr>
      <w:r>
        <w:rPr/>
        <w:t>联系人：张老师</w:t>
      </w:r>
    </w:p>
    <w:p>
      <w:pPr>
        <w:pStyle w:val="null3"/>
      </w:pPr>
      <w:r>
        <w:rPr/>
        <w:t>联系电话：028-86924339</w:t>
      </w:r>
    </w:p>
    <w:p>
      <w:pPr>
        <w:pStyle w:val="null3"/>
      </w:pPr>
      <w:r>
        <w:rPr/>
        <w:t>地址：四川省成都市青羊区顺城大街222号或鼓楼南街101号（丰德成达中心10层）</w:t>
      </w:r>
    </w:p>
    <w:p>
      <w:pPr>
        <w:pStyle w:val="null3"/>
      </w:pPr>
      <w:r>
        <w:rPr/>
        <w:t>邮编：610000</w:t>
      </w:r>
    </w:p>
    <w:p>
      <w:pPr>
        <w:pStyle w:val="null3"/>
        <w:ind w:firstLine="480"/>
      </w:pPr>
      <w:r>
        <w:rPr/>
        <w:t>注：根据《中华人民共和国政府采购法》的规定，供应商质疑不得超出谈判文件、采购过程、采购结果的范围。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pPr>
      <w:r>
        <w:rPr>
          <w:b/>
          <w:sz w:val="36"/>
        </w:rPr>
        <w:t>第三章 谈判项目技术、服务、商务及其他要求</w:t>
      </w:r>
    </w:p>
    <w:p>
      <w:pPr>
        <w:pStyle w:val="null3"/>
        <w:ind w:firstLine="480"/>
      </w:pPr>
      <w:r>
        <w:rPr/>
        <w:t>（带“★”的参数需求为实质性要求，供应商必须响应并满足的参数需求，采购人、采购代理机构应当根据项目实际需求合理设定，并明确具体要求。）</w:t>
      </w:r>
    </w:p>
    <w:p>
      <w:pPr>
        <w:pStyle w:val="null3"/>
      </w:pPr>
      <w:r>
        <w:rPr>
          <w:b/>
          <w:sz w:val="28"/>
        </w:rPr>
        <w:t>3.1、采购项目概况</w:t>
      </w:r>
    </w:p>
    <w:p>
      <w:pPr>
        <w:pStyle w:val="null3"/>
      </w:pPr>
    </w:p>
    <w:p>
      <w:pPr>
        <w:pStyle w:val="null3"/>
      </w:pPr>
      <w:r>
        <w:rPr/>
        <w:t>本项目共一个包，采购LED大屏显示系统建设供应商。</w:t>
      </w:r>
    </w:p>
    <w:tbl>
      <w:tblPr>
        <w:tblW w:w="0" w:type="auto"/>
        <w:tblBorders>
          <w:top w:val="single"/>
          <w:left w:val="single"/>
          <w:bottom w:val="single"/>
          <w:right w:val="single"/>
          <w:insideH w:val="single"/>
          <w:insideV w:val="single"/>
        </w:tblBorders>
      </w:tblPr>
      <w:tblGrid>
        <w:gridCol w:w="490"/>
        <w:gridCol w:w="1834"/>
        <w:gridCol w:w="736"/>
        <w:gridCol w:w="736"/>
        <w:gridCol w:w="736"/>
        <w:gridCol w:w="852"/>
        <w:gridCol w:w="981"/>
        <w:gridCol w:w="981"/>
        <w:gridCol w:w="981"/>
      </w:tblGrid>
      <w:tr>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序号</w:t>
            </w:r>
          </w:p>
        </w:tc>
        <w:tc>
          <w:tcPr>
            <w:tcW w:type="dxa" w:w="18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标的名称</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数量</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计量单位</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所属行业</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是否核心产品</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是否允许进口产品</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是否属于节能产品</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是否属于环境标志产品</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室内全彩显示单元</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23.65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室内全彩辅助显示单元</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3</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显示屏播控软件</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套</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4</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发送盒</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7</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5</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控制终端</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6</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设备机柜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个</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7</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配电系统</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套</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8</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屏体钢结构周边装饰</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23.65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9</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视频同传</w:t>
            </w:r>
            <w:r>
              <w:rPr>
                <w:rFonts w:ascii="宋体" w:hAnsi="宋体" w:cs="宋体" w:eastAsia="宋体"/>
                <w:color w:val="000000"/>
                <w:sz w:val="22"/>
              </w:rPr>
              <w:t>HDMI1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10</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控制台</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11</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其他各类辅材</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12</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LED</w:t>
            </w:r>
            <w:r>
              <w:rPr>
                <w:rFonts w:ascii="等线" w:hAnsi="等线" w:cs="等线" w:eastAsia="等线"/>
                <w:color w:val="000000"/>
                <w:sz w:val="22"/>
              </w:rPr>
              <w:t>系统集成</w:t>
            </w: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13</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液晶监视器</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14</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监视器支架</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15</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非编显示器</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16</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导播辅助设备</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17</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高清显示器</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18</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微型一体机支架</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套</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19</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管理服务器</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color w:val="000000"/>
                <w:sz w:val="22"/>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color w:val="000000"/>
                <w:sz w:val="22"/>
              </w:rPr>
              <w:t>工业</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等线" w:hAnsi="等线" w:cs="等线" w:eastAsia="等线"/>
                <w:color w:val="000000"/>
                <w:sz w:val="22"/>
              </w:rPr>
              <w:t>否</w:t>
            </w:r>
          </w:p>
        </w:tc>
      </w:tr>
    </w:tbl>
    <w:p>
      <w:pPr>
        <w:pStyle w:val="null3"/>
      </w:pPr>
      <w:r>
        <w:rPr/>
        <w:t>注：此表为“3.2、采购内容”标的表格的细化表格，供应商响应时以本表格为准。</w:t>
      </w:r>
    </w:p>
    <w:p>
      <w:pPr>
        <w:pStyle w:val="null3"/>
      </w:pPr>
      <w:r>
        <w:rPr>
          <w:b/>
          <w:sz w:val="28"/>
        </w:rPr>
        <w:t>3.2、采购内容</w:t>
      </w:r>
    </w:p>
    <w:p>
      <w:pPr>
        <w:pStyle w:val="null3"/>
      </w:pPr>
    </w:p>
    <w:p>
      <w:pPr>
        <w:pStyle w:val="null3"/>
      </w:pPr>
    </w:p>
    <w:p>
      <w:pPr>
        <w:pStyle w:val="null3"/>
      </w:pPr>
    </w:p>
    <w:p>
      <w:pPr>
        <w:pStyle w:val="null3"/>
      </w:pPr>
      <w:r>
        <w:rPr/>
        <w:t>采购包1：</w:t>
      </w:r>
    </w:p>
    <w:p>
      <w:pPr>
        <w:pStyle w:val="null3"/>
      </w:pPr>
      <w:r>
        <w:rPr/>
        <w:t>采购包预算金额（元）: 800,000.00</w:t>
      </w:r>
    </w:p>
    <w:p>
      <w:pPr>
        <w:pStyle w:val="null3"/>
      </w:pPr>
      <w:r>
        <w:rPr/>
        <w:t>采购包最高限价（元）: 800,000.00</w:t>
      </w:r>
    </w:p>
    <w:p>
      <w:pPr>
        <w:pStyle w:val="null3"/>
      </w:pPr>
      <w:r>
        <w:rPr/>
        <w:t>供应商报价不允许超过标的限价</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序号</w:t>
            </w:r>
          </w:p>
        </w:tc>
        <w:tc>
          <w:tcPr>
            <w:tcW w:type="dxa" w:w="831"/>
          </w:tcPr>
          <w:p>
            <w:r>
              <w:rPr/>
              <w:t>标的名称</w:t>
            </w:r>
          </w:p>
        </w:tc>
        <w:tc>
          <w:tcPr>
            <w:tcW w:type="dxa" w:w="831"/>
          </w:tcPr>
          <w:p>
            <w:r>
              <w:rPr/>
              <w:t>数量</w:t>
            </w:r>
          </w:p>
        </w:tc>
        <w:tc>
          <w:tcPr>
            <w:tcW w:type="dxa" w:w="831"/>
          </w:tcPr>
          <w:p>
            <w:r>
              <w:rPr/>
              <w:t>标的预算 （元）</w:t>
            </w:r>
          </w:p>
        </w:tc>
        <w:tc>
          <w:tcPr>
            <w:tcW w:type="dxa" w:w="831"/>
          </w:tcPr>
          <w:p>
            <w:r>
              <w:rPr/>
              <w:t>计量单位</w:t>
            </w:r>
          </w:p>
        </w:tc>
        <w:tc>
          <w:tcPr>
            <w:tcW w:type="dxa" w:w="831"/>
          </w:tcPr>
          <w:p>
            <w:r>
              <w:rPr/>
              <w:t>所属行业</w:t>
            </w:r>
          </w:p>
        </w:tc>
        <w:tc>
          <w:tcPr>
            <w:tcW w:type="dxa" w:w="831"/>
          </w:tcPr>
          <w:p>
            <w:r>
              <w:rPr/>
              <w:t>是否核心产品</w:t>
            </w:r>
          </w:p>
        </w:tc>
        <w:tc>
          <w:tcPr>
            <w:tcW w:type="dxa" w:w="831"/>
          </w:tcPr>
          <w:p>
            <w:r>
              <w:rPr/>
              <w:t>是否允许进口产品</w:t>
            </w:r>
          </w:p>
        </w:tc>
        <w:tc>
          <w:tcPr>
            <w:tcW w:type="dxa" w:w="831"/>
          </w:tcPr>
          <w:p>
            <w:r>
              <w:rPr/>
              <w:t>是否属于节能产品</w:t>
            </w:r>
          </w:p>
        </w:tc>
        <w:tc>
          <w:tcPr>
            <w:tcW w:type="dxa" w:w="831"/>
          </w:tcPr>
          <w:p>
            <w:r>
              <w:rPr/>
              <w:t>是否属于环境标志产品</w:t>
            </w:r>
          </w:p>
        </w:tc>
      </w:tr>
      <w:tr>
        <w:tc>
          <w:tcPr>
            <w:tcW w:type="dxa" w:w="831"/>
          </w:tcPr>
          <w:p>
            <w:r>
              <w:rPr/>
              <w:t>1</w:t>
            </w:r>
          </w:p>
        </w:tc>
        <w:tc>
          <w:tcPr>
            <w:tcW w:type="dxa" w:w="831"/>
          </w:tcPr>
          <w:p>
            <w:r>
              <w:rPr/>
              <w:t>LED显示屏</w:t>
            </w:r>
          </w:p>
        </w:tc>
        <w:tc>
          <w:tcPr>
            <w:tcW w:type="dxa" w:w="831"/>
          </w:tcPr>
          <w:p>
            <w:pPr>
              <w:jc w:val="right"/>
            </w:pPr>
            <w:r>
              <w:rPr/>
              <w:t>1.00</w:t>
            </w:r>
          </w:p>
        </w:tc>
        <w:tc>
          <w:tcPr>
            <w:tcW w:type="dxa" w:w="831"/>
          </w:tcPr>
          <w:p>
            <w:pPr>
              <w:jc w:val="right"/>
            </w:pPr>
            <w:r>
              <w:rPr/>
              <w:t>800,000.00</w:t>
            </w:r>
          </w:p>
        </w:tc>
        <w:tc>
          <w:tcPr>
            <w:tcW w:type="dxa" w:w="831"/>
          </w:tcPr>
          <w:p>
            <w:r>
              <w:rPr/>
              <w:t>批</w:t>
            </w:r>
          </w:p>
        </w:tc>
        <w:tc>
          <w:tcPr>
            <w:tcW w:type="dxa" w:w="831"/>
          </w:tcPr>
          <w:p>
            <w:r>
              <w:rPr/>
              <w:t>工业</w:t>
            </w:r>
          </w:p>
        </w:tc>
        <w:tc>
          <w:tcPr>
            <w:tcW w:type="dxa" w:w="831"/>
          </w:tcPr>
          <w:p>
            <w:r>
              <w:rPr/>
              <w:t>是</w:t>
            </w:r>
          </w:p>
        </w:tc>
        <w:tc>
          <w:tcPr>
            <w:tcW w:type="dxa" w:w="831"/>
          </w:tcPr>
          <w:p>
            <w:r>
              <w:rPr/>
              <w:t>否</w:t>
            </w:r>
          </w:p>
        </w:tc>
        <w:tc>
          <w:tcPr>
            <w:tcW w:type="dxa" w:w="831"/>
          </w:tcPr>
          <w:p>
            <w:r>
              <w:rPr/>
              <w:t>是</w:t>
            </w:r>
          </w:p>
        </w:tc>
        <w:tc>
          <w:tcPr>
            <w:tcW w:type="dxa" w:w="831"/>
          </w:tcPr>
          <w:p>
            <w:r>
              <w:rPr/>
              <w:t>否</w:t>
            </w:r>
          </w:p>
        </w:tc>
      </w:tr>
    </w:tbl>
    <w:p>
      <w:pPr>
        <w:pStyle w:val="null3"/>
      </w:pPr>
      <w:r>
        <w:rPr>
          <w:b/>
          <w:sz w:val="28"/>
        </w:rPr>
        <w:t>3.3、技术参数及要求</w:t>
      </w:r>
    </w:p>
    <w:p>
      <w:pPr>
        <w:pStyle w:val="null3"/>
      </w:pPr>
    </w:p>
    <w:p>
      <w:pPr>
        <w:pStyle w:val="null3"/>
      </w:pPr>
    </w:p>
    <w:p>
      <w:pPr>
        <w:pStyle w:val="null3"/>
      </w:pPr>
    </w:p>
    <w:p>
      <w:pPr>
        <w:pStyle w:val="null3"/>
      </w:pPr>
      <w:r>
        <w:rPr/>
        <w:t>采购包1：</w:t>
      </w:r>
    </w:p>
    <w:p>
      <w:pPr>
        <w:pStyle w:val="null3"/>
      </w:pPr>
      <w:r>
        <w:rPr/>
        <w:t>供应商报价不允许超过标的预算</w:t>
      </w:r>
    </w:p>
    <w:p>
      <w:pPr>
        <w:pStyle w:val="null3"/>
      </w:pPr>
      <w:r>
        <w:rPr/>
        <w:t>（招单价的）供应商报价不允许超过标的单价</w:t>
      </w:r>
    </w:p>
    <w:p>
      <w:pPr>
        <w:pStyle w:val="null3"/>
      </w:pPr>
    </w:p>
    <w:p>
      <w:pPr>
        <w:pStyle w:val="null3"/>
      </w:pPr>
      <w:r>
        <w:rPr/>
        <w:t>标的名称：LED显示屏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tc>
        <w:tc>
          <w:tcPr>
            <w:tcW w:type="dxa" w:w="2769"/>
          </w:tcPr>
          <w:p>
            <w:r>
              <w:rPr/>
              <w:t>1</w:t>
            </w:r>
          </w:p>
        </w:tc>
        <w:tc>
          <w:tcPr>
            <w:tcW w:type="dxa" w:w="2769"/>
          </w:tcPr>
          <w:p/>
          <w:tbl>
            <w:tblGrid>
              <w:gridCol w:w="173"/>
              <w:gridCol w:w="281"/>
              <w:gridCol w:w="1572"/>
              <w:gridCol w:w="177"/>
              <w:gridCol w:w="140"/>
              <w:gridCol w:w="210"/>
            </w:tblGrid>
            <w:tr>
              <w:tc>
                <w:tcPr>
                  <w:tcW w:type="dxa" w:w="1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b/>
                      <w:sz w:val="20"/>
                    </w:rPr>
                    <w:t>序号</w:t>
                  </w:r>
                </w:p>
              </w:tc>
              <w:tc>
                <w:tcPr>
                  <w:tcW w:type="dxa" w:w="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b/>
                      <w:sz w:val="20"/>
                    </w:rPr>
                    <w:t>设备名称</w:t>
                  </w:r>
                </w:p>
              </w:tc>
              <w:tc>
                <w:tcPr>
                  <w:tcW w:type="dxa" w:w="157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b/>
                      <w:sz w:val="20"/>
                    </w:rPr>
                    <w:t>技术参数</w:t>
                  </w:r>
                </w:p>
              </w:tc>
              <w:tc>
                <w:tcPr>
                  <w:tcW w:type="dxa" w:w="17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b/>
                      <w:sz w:val="20"/>
                    </w:rPr>
                    <w:t>数量</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b/>
                      <w:sz w:val="20"/>
                    </w:rPr>
                    <w:t>单位</w:t>
                  </w:r>
                </w:p>
              </w:tc>
              <w:tc>
                <w:tcPr>
                  <w:tcW w:type="dxa" w:w="21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备注</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室内全彩显示单元1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、显示屏净屏尺寸：≥6.72m*3.52m=23.65 ；像素间距：≤1.25mm；</w:t>
                  </w:r>
                  <w:r>
                    <w:br/>
                  </w:r>
                  <w:r>
                    <w:rPr>
                      <w:rFonts w:ascii="&quot;方正刻本仿宋简体&quot;, &quot;serif&quot;" w:hAnsi="&quot;方正刻本仿宋简体&quot;, &quot;serif&quot;" w:cs="&quot;方正刻本仿宋简体&quot;, &quot;serif&quot;" w:eastAsia="&quot;方正刻本仿宋简体&quot;, &quot;serif&quot;"/>
                      <w:sz w:val="20"/>
                    </w:rPr>
                    <w:t>★2、寿命：≥11.2万小时，平均无故障运行时间:MTBF≥101000小时，水平视角：≥176°，垂直视角：≥178° （提供第三方检测机构出具的带有CNAS、CMA 标识的检测报告复印件并加盖供应商公章）；</w:t>
                  </w:r>
                  <w:r>
                    <w:br/>
                  </w:r>
                  <w:r>
                    <w:rPr>
                      <w:rFonts w:ascii="&quot;方正刻本仿宋简体&quot;, &quot;serif&quot;" w:hAnsi="&quot;方正刻本仿宋简体&quot;, &quot;serif&quot;" w:cs="&quot;方正刻本仿宋简体&quot;, &quot;serif&quot;" w:eastAsia="&quot;方正刻本仿宋简体&quot;, &quot;serif&quot;"/>
                      <w:sz w:val="20"/>
                    </w:rPr>
                    <w:t>3、刷新率：≥3840Hz；亮度均匀性：≥99%；</w:t>
                  </w:r>
                  <w:r>
                    <w:br/>
                  </w:r>
                  <w:r>
                    <w:rPr>
                      <w:rFonts w:ascii="&quot;方正刻本仿宋简体&quot;, &quot;serif&quot;" w:hAnsi="&quot;方正刻本仿宋简体&quot;, &quot;serif&quot;" w:cs="&quot;方正刻本仿宋简体&quot;, &quot;serif&quot;" w:eastAsia="&quot;方正刻本仿宋简体&quot;, &quot;serif&quot;"/>
                      <w:sz w:val="20"/>
                    </w:rPr>
                    <w:t>★4、符合《显示设备显示性能和视觉健康认证技术规范（室内 LED显示屏部分）》（TIRT-GK-JS-55-2020）技术标准，提供显示性能和视觉健康认证证书复印件；</w:t>
                  </w:r>
                  <w:r>
                    <w:br/>
                  </w:r>
                  <w:r>
                    <w:rPr>
                      <w:rFonts w:ascii="&quot;方正刻本仿宋简体&quot;, &quot;serif&quot;" w:hAnsi="&quot;方正刻本仿宋简体&quot;, &quot;serif&quot;" w:cs="&quot;方正刻本仿宋简体&quot;, &quot;serif&quot;" w:eastAsia="&quot;方正刻本仿宋简体&quot;, &quot;serif&quot;"/>
                      <w:sz w:val="20"/>
                    </w:rPr>
                    <w:t>★5、产品符合8K超高清显示要求，并符合CESI/TS 006-2020技术标准，提供超高清显示认证证书复印件；</w:t>
                  </w:r>
                  <w:r>
                    <w:br/>
                  </w:r>
                  <w:r>
                    <w:rPr>
                      <w:rFonts w:ascii="&quot;方正刻本仿宋简体&quot;, &quot;serif&quot;" w:hAnsi="&quot;方正刻本仿宋简体&quot;, &quot;serif&quot;" w:cs="&quot;方正刻本仿宋简体&quot;, &quot;serif&quot;" w:eastAsia="&quot;方正刻本仿宋简体&quot;, &quot;serif&quot;"/>
                      <w:sz w:val="20"/>
                    </w:rPr>
                    <w:t>★6、为了保证显示屏散热性能，显示屏具有铝箱体智能散热装置系统功能（提供具有第三方软件评测资格机构出具的铝箱体智能散热装置系统的软件测试报告复印件加盖供应商公章）；</w:t>
                  </w:r>
                  <w:r>
                    <w:br/>
                  </w:r>
                  <w:r>
                    <w:rPr>
                      <w:rFonts w:ascii="&quot;方正刻本仿宋简体&quot;, &quot;serif&quot;" w:hAnsi="&quot;方正刻本仿宋简体&quot;, &quot;serif&quot;" w:cs="&quot;方正刻本仿宋简体&quot;, &quot;serif&quot;" w:eastAsia="&quot;方正刻本仿宋简体&quot;, &quot;serif&quot;"/>
                      <w:sz w:val="20"/>
                    </w:rPr>
                    <w:t>★7、显示屏具有节目与信息发布系统功能；具有自动辅热除湿降温控制系统功能（提供具有第三方软件评测资格机构出具的产品登记测试报告复印件加盖供应商公章）。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23.65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m</w:t>
                  </w:r>
                  <w:r>
                    <w:rPr>
                      <w:rFonts w:ascii="宋体" w:hAnsi="宋体" w:cs="宋体" w:eastAsia="宋体"/>
                      <w:sz w:val="20"/>
                    </w:rPr>
                    <w:t>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室内全彩辅助显示单元1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、能效等级：二级能效 ；支持格式（高清）：4K、亮度：400-600nits、操作系统：酷开系统、CPU核数：四核、屏幕比例：16:9、刷屏率：60HZ。</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显示屏播控软件1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、资源管理：可以对常见的图片、视频、音乐、PPT、PDF、网页等多种格式管理；</w:t>
                  </w:r>
                  <w:r>
                    <w:br/>
                  </w:r>
                  <w:r>
                    <w:rPr>
                      <w:rFonts w:ascii="&quot;方正刻本仿宋简体&quot;, &quot;serif&quot;" w:hAnsi="&quot;方正刻本仿宋简体&quot;, &quot;serif&quot;" w:cs="&quot;方正刻本仿宋简体&quot;, &quot;serif&quot;" w:eastAsia="&quot;方正刻本仿宋简体&quot;, &quot;serif&quot;"/>
                      <w:sz w:val="20"/>
                    </w:rPr>
                    <w:t>2、设备管理：可以对单台或多台设备进行远程关机、重启、在线升级等操作以及定时开机、定时关机及定时音量设置；</w:t>
                  </w:r>
                  <w:r>
                    <w:br/>
                  </w:r>
                  <w:r>
                    <w:rPr>
                      <w:rFonts w:ascii="&quot;方正刻本仿宋简体&quot;, &quot;serif&quot;" w:hAnsi="&quot;方正刻本仿宋简体&quot;, &quot;serif&quot;" w:cs="&quot;方正刻本仿宋简体&quot;, &quot;serif&quot;" w:eastAsia="&quot;方正刻本仿宋简体&quot;, &quot;serif&quot;"/>
                      <w:sz w:val="20"/>
                    </w:rPr>
                    <w:t>3、日志管理：提供开放标准接口，允许第三方平台进行用户登录对接（提供具有第三方软件评测资格机构出具的软件测试报告复印件加盖供应商公章）；</w:t>
                  </w:r>
                  <w:r>
                    <w:br/>
                  </w:r>
                  <w:r>
                    <w:rPr>
                      <w:rFonts w:ascii="&quot;方正刻本仿宋简体&quot;, &quot;serif&quot;" w:hAnsi="&quot;方正刻本仿宋简体&quot;, &quot;serif&quot;" w:cs="&quot;方正刻本仿宋简体&quot;, &quot;serif&quot;" w:eastAsia="&quot;方正刻本仿宋简体&quot;, &quot;serif&quot;"/>
                      <w:sz w:val="20"/>
                    </w:rPr>
                    <w:t>4、节目审核：对审核开启和关闭智能管理；</w:t>
                  </w:r>
                  <w:r>
                    <w:br/>
                  </w:r>
                  <w:r>
                    <w:rPr>
                      <w:rFonts w:ascii="&quot;方正刻本仿宋简体&quot;, &quot;serif&quot;" w:hAnsi="&quot;方正刻本仿宋简体&quot;, &quot;serif&quot;" w:cs="&quot;方正刻本仿宋简体&quot;, &quot;serif&quot;" w:eastAsia="&quot;方正刻本仿宋简体&quot;, &quot;serif&quot;"/>
                      <w:sz w:val="20"/>
                    </w:rPr>
                    <w:t>★5、为确保软件的各种应用需求，软件应具有翻译功能（提供 LED 显示屏多语言管理及翻译助手软件系统计算机软件著作权证书复印件并加盖供应商公章）；</w:t>
                  </w:r>
                  <w:r>
                    <w:br/>
                  </w:r>
                  <w:r>
                    <w:rPr>
                      <w:rFonts w:ascii="&quot;方正刻本仿宋简体&quot;, &quot;serif&quot;" w:hAnsi="&quot;方正刻本仿宋简体&quot;, &quot;serif&quot;" w:cs="&quot;方正刻本仿宋简体&quot;, &quot;serif&quot;" w:eastAsia="&quot;方正刻本仿宋简体&quot;, &quot;serif&quot;"/>
                      <w:sz w:val="20"/>
                    </w:rPr>
                    <w:t>★6、为了防止误操作，软件具有防卸载功能（提供显示屏防卸载软件著作权证书复印件及具有第三方软件评测资格机构出具的显示屏防卸载系统软件测试报告复印件加盖供应商公章）。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4</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发送盒</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、数据组数： ≥8组全彩数据；单卡输出 RGB 数据32组；支持配置文件回读；具备色彩还原技术，能够针对LED屏显示特性，真实地展现图像原本色彩；</w:t>
                  </w:r>
                  <w:r>
                    <w:br/>
                  </w:r>
                  <w:r>
                    <w:rPr>
                      <w:rFonts w:ascii="&quot;方正刻本仿宋简体&quot;, &quot;serif&quot;" w:hAnsi="&quot;方正刻本仿宋简体&quot;, &quot;serif&quot;" w:cs="&quot;方正刻本仿宋简体&quot;, &quot;serif&quot;" w:eastAsia="&quot;方正刻本仿宋简体&quot;, &quot;serif&quot;"/>
                      <w:sz w:val="20"/>
                    </w:rPr>
                    <w:t>2、支持向导式设置，用户根据软件提示即可完成操作；支持程序升级断电保护功能，保证产品后续升级的安全性，保障信号传输稳定性；支持逐点亮色度校正，可以对每个灯点的亮度和色度进行校正，有效消除色差，使整屏的亮度和色度达到高度均匀一致；</w:t>
                  </w:r>
                  <w:r>
                    <w:br/>
                  </w:r>
                  <w:r>
                    <w:rPr>
                      <w:rFonts w:ascii="&quot;方正刻本仿宋简体&quot;, &quot;serif&quot;" w:hAnsi="&quot;方正刻本仿宋简体&quot;, &quot;serif&quot;" w:cs="&quot;方正刻本仿宋简体&quot;, &quot;serif&quot;" w:eastAsia="&quot;方正刻本仿宋简体&quot;, &quot;serif&quot;"/>
                      <w:sz w:val="20"/>
                    </w:rPr>
                    <w:t>★3、产品能支持同步异步一体化控制功能（提供同步异步一体化控制系统软件著作权证书复印件具有第三方软件评测资格机构出具的同步异步一体化控制系统软件测试报告复印件加盖供应商公章）。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7</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5</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控制终端</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★1、六核及以上处理器，线程数≥12，主频≥3.6GHz，三级缓存≥32MB;≥8G DDR4 2666MHz 内存;≥256G固态硬盘；≥4G独立显卡；≥10个USB接口（其中前置USB 3.1 G2≥2个），≥1组PS/2接口，1个串口、VGA+HDMI接口（VGA非转接）；</w:t>
                  </w:r>
                  <w:r>
                    <w:br/>
                  </w:r>
                  <w:r>
                    <w:rPr>
                      <w:rFonts w:ascii="&quot;方正刻本仿宋简体&quot;, &quot;serif&quot;" w:hAnsi="&quot;方正刻本仿宋简体&quot;, &quot;serif&quot;" w:cs="&quot;方正刻本仿宋简体&quot;, &quot;serif&quot;" w:eastAsia="&quot;方正刻本仿宋简体&quot;, &quot;serif&quot;"/>
                      <w:sz w:val="20"/>
                    </w:rPr>
                    <w:t>2、标准MATX立式机箱，机箱≥15L，顶置提手，顶置电源开关键； ≤210W节能电源；</w:t>
                  </w:r>
                  <w:r>
                    <w:br/>
                  </w:r>
                  <w:r>
                    <w:rPr>
                      <w:rFonts w:ascii="&quot;方正刻本仿宋简体&quot;, &quot;serif&quot;" w:hAnsi="&quot;方正刻本仿宋简体&quot;, &quot;serif&quot;" w:cs="&quot;方正刻本仿宋简体&quot;, &quot;serif&quot;" w:eastAsia="&quot;方正刻本仿宋简体&quot;, &quot;serif&quot;"/>
                      <w:sz w:val="20"/>
                    </w:rPr>
                    <w:t>3、键鼠：防水键盘、抗菌鼠标；支持5.1声道，≥5个音频接口； ≥1个PCI-E*16、≥2个PCI-E*1、≥1个PCI槽位；显示器≥21.5英寸，分辨率≥1920*1080，响应时间≤2ms；出厂预装Windows 10正版操作系统；出厂预装网络同传软件。</w:t>
                  </w:r>
                  <w:r>
                    <w:br/>
                  </w:r>
                  <w:r>
                    <w:rPr>
                      <w:rFonts w:ascii="&quot;方正刻本仿宋简体&quot;, &quot;serif&quot;" w:hAnsi="&quot;方正刻本仿宋简体&quot;, &quot;serif&quot;" w:cs="&quot;方正刻本仿宋简体&quot;, &quot;serif&quot;" w:eastAsia="&quot;方正刻本仿宋简体&quot;, &quot;serif&quot;"/>
                      <w:sz w:val="20"/>
                    </w:rPr>
                    <w:t>★4、具备USB屏蔽技术，仅识别USB键盘、鼠标，无法识别USB读取设备，有效防止数据泄露（投标时提供功能性截屏并加盖投标人公章）。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设备机柜</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、主体采用冷扎钢板制作，尺寸：≥600mm×800mm×1200mm，表面处理：静电喷塑。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7</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配电系统1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★1、上电保护功能:具有延时启动、浪涌保护、防雷、过流、短路断路、过压、欠压以及漏电等保护功能;可自动处理各种应急情况，定时自动开关大屏（提供第三方检测机构出具的带有CNAS或CMA 标识的检测报告复印件并加盖投标人公章）；</w:t>
                  </w:r>
                  <w:r>
                    <w:br/>
                  </w:r>
                  <w:r>
                    <w:rPr>
                      <w:rFonts w:ascii="&quot;方正刻本仿宋简体&quot;, &quot;serif&quot;" w:hAnsi="&quot;方正刻本仿宋简体&quot;, &quot;serif&quot;" w:cs="&quot;方正刻本仿宋简体&quot;, &quot;serif&quot;" w:eastAsia="&quot;方正刻本仿宋简体&quot;, &quot;serif&quot;"/>
                      <w:sz w:val="20"/>
                    </w:rPr>
                    <w:t>2、多组输出回路:每组可独立控制；电气间隙:相与相之间≥8mm；不同电压的电路导体之间≥8mm；带电部件与裸露导电部件之间≥8mm。                                                                                              ★3、配电箱具有远程控制技术(提供内置电源远程控制系统计算机软件著作权加盖投标人公章）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8</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屏体钢结构周边装饰1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、落地式结构，采用≥40mm*40mm铝型材：根据现场特殊条件定做，满足现场承重安全要求,结构件具有防锈，防腐功能，保证屏体通风散热，屏体方便维护；定制包边显示屏四周边框采用铝合金装饰，颜色可选。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23.65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m</w:t>
                  </w:r>
                  <w:r>
                    <w:rPr>
                      <w:rFonts w:ascii="宋体" w:hAnsi="宋体" w:cs="宋体" w:eastAsia="宋体"/>
                      <w:sz w:val="20"/>
                    </w:rPr>
                    <w:t>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9</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视频同传HDMI1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、分辨率：支持≥1080P；采用标准的TCP/IP协议通过局域网传输高清音视频的设备，能将DVD、播放器、电脑等设备的HDMI高清视频采用CAT5E/6网线传输，传输距离≥120米。</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控制台1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、≥1工位；材质：≥1.2mm优质冷轧钢板；表面处理：静电喷塑；颜色：灰色。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其他各类辅材1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、根据现场需求情况配置：HDMI线缆、六类网线、信号线缆、PVC管材等。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LED</w:t>
                  </w:r>
                  <w:r>
                    <w:rPr>
                      <w:rFonts w:ascii="&quot;方正刻本仿宋简体&quot;, &quot;serif&quot;" w:hAnsi="&quot;方正刻本仿宋简体&quot;, &quot;serif&quot;" w:cs="&quot;方正刻本仿宋简体&quot;, &quot;serif&quot;" w:eastAsia="&quot;方正刻本仿宋简体&quot;, &quot;serif&quot;"/>
                      <w:sz w:val="20"/>
                    </w:rPr>
                    <w:t>系统集成1</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、实施范围：控制室至LED屏线路铺设；材料：根据系统按需提供铜芯电源线、通讯控制线、电源辅件、安装辅材等。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液晶监视器</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、屏幕尺寸 55英寸；分辨率 4K（3840*2160）；屏幕比例 16:9；RAM ≥2GB，ROM ≥16GB。</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18"/>
                    </w:rPr>
                    <w:t>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14</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监视器支架</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、液晶监视器壁挂安装支架，定制。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18"/>
                    </w:rPr>
                    <w:t>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15</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非编显示器</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、屏幕尺寸≥27英寸 ；≥4K 、HDMI接口。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导播辅助设备</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、屏幕尺寸≥23.8英寸IPS；≥1920x1080；视频接口D-Sub（VGA），HDMI，Displayport，USB≥ 4个。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17</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高清显示器</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、屏幕尺寸≥23.8英寸IPS；≥1920x1080；视频接口D-Sub（VGA），HDMI，DP，USB≥ 4个。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强制节能产品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18</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微型一体机支架</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、微型一体机升降旋转支架支架，配套高清显示器使用。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19</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管理服务器</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方正刻本仿宋简体&quot;, &quot;serif&quot;" w:hAnsi="&quot;方正刻本仿宋简体&quot;, &quot;serif&quot;" w:cs="&quot;方正刻本仿宋简体&quot;, &quot;serif&quot;" w:eastAsia="&quot;方正刻本仿宋简体&quot;, &quot;serif&quot;"/>
                      <w:sz w:val="20"/>
                    </w:rPr>
                    <w:t>1</w:t>
                  </w:r>
                  <w:r>
                    <w:rPr>
                      <w:rFonts w:ascii="&quot;方正刻本仿宋简体&quot;, &quot;serif&quot;" w:hAnsi="&quot;方正刻本仿宋简体&quot;, &quot;serif&quot;" w:cs="&quot;方正刻本仿宋简体&quot;, &quot;serif&quot;" w:eastAsia="&quot;方正刻本仿宋简体&quot;, &quot;serif&quot;"/>
                      <w:sz w:val="20"/>
                    </w:rPr>
                    <w:t>、 性能不低于2颗intel 4210 （2.2GHz，20核）；内存：≥64GB RDIMM ECC 2400 DDR4 内存 ；硬盘：≥500G ssd固态+1T机械硬盘 ；≥2*10000M 网络接口；2个550W 1+1热插拔冗余电源。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方正刻本仿宋简体&quot;, &quot;serif&quot;" w:hAnsi="&quot;方正刻本仿宋简体&quot;, &quot;serif&quot;" w:cs="&quot;方正刻本仿宋简体&quot;, &quot;serif&quot;" w:eastAsia="&quot;方正刻本仿宋简体&quot;, &quot;serif&quot;"/>
                      <w:sz w:val="2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等线" w:hAnsi="等线" w:cs="等线" w:eastAsia="等线"/>
                      <w:sz w:val="21"/>
                    </w:rPr>
                    <w:t>　</w:t>
                  </w:r>
                </w:p>
              </w:tc>
            </w:tr>
          </w:tbl>
        </w:tc>
      </w:tr>
    </w:tbl>
    <w:p>
      <w:pPr>
        <w:pStyle w:val="null3"/>
      </w:pPr>
      <w:r>
        <w:rPr>
          <w:b/>
          <w:sz w:val="28"/>
        </w:rPr>
        <w:t>3.4、商务要求</w:t>
      </w:r>
    </w:p>
    <w:p>
      <w:pPr>
        <w:pStyle w:val="null3"/>
      </w:pPr>
      <w:r>
        <w:rPr>
          <w:b/>
          <w:sz w:val="24"/>
        </w:rPr>
        <w:t>3.4.1交货时间</w:t>
      </w:r>
    </w:p>
    <w:p>
      <w:pPr>
        <w:pStyle w:val="null3"/>
      </w:pPr>
    </w:p>
    <w:p>
      <w:pPr>
        <w:pStyle w:val="null3"/>
      </w:pPr>
    </w:p>
    <w:p>
      <w:pPr>
        <w:pStyle w:val="null3"/>
      </w:pPr>
    </w:p>
    <w:p>
      <w:pPr>
        <w:pStyle w:val="null3"/>
      </w:pPr>
      <w:r>
        <w:rPr/>
        <w:t>采购包1：</w:t>
      </w:r>
    </w:p>
    <w:p>
      <w:pPr>
        <w:pStyle w:val="null3"/>
      </w:pPr>
      <w:r>
        <w:rPr/>
        <w:t>自合同签订之日起365日</w:t>
      </w:r>
    </w:p>
    <w:p>
      <w:pPr>
        <w:pStyle w:val="null3"/>
      </w:pPr>
      <w:r>
        <w:rPr>
          <w:b/>
          <w:sz w:val="24"/>
        </w:rPr>
        <w:t>3.4.2交货地点和方式</w:t>
      </w:r>
    </w:p>
    <w:p>
      <w:pPr>
        <w:pStyle w:val="null3"/>
      </w:pPr>
    </w:p>
    <w:p>
      <w:pPr>
        <w:pStyle w:val="null3"/>
      </w:pPr>
    </w:p>
    <w:p>
      <w:pPr>
        <w:pStyle w:val="null3"/>
      </w:pPr>
    </w:p>
    <w:p>
      <w:pPr>
        <w:pStyle w:val="null3"/>
      </w:pPr>
      <w:r>
        <w:rPr/>
        <w:t>采购包1：</w:t>
      </w:r>
    </w:p>
    <w:p>
      <w:pPr>
        <w:pStyle w:val="null3"/>
      </w:pPr>
      <w:r>
        <w:rPr/>
        <w:t>成都市锦江区学道街42号</w:t>
      </w:r>
    </w:p>
    <w:p>
      <w:pPr>
        <w:pStyle w:val="null3"/>
      </w:pPr>
      <w:r>
        <w:rPr>
          <w:b/>
          <w:sz w:val="24"/>
        </w:rPr>
        <w:t>3.4.3支付方式</w:t>
      </w:r>
    </w:p>
    <w:p>
      <w:pPr>
        <w:pStyle w:val="null3"/>
      </w:pPr>
    </w:p>
    <w:p>
      <w:pPr>
        <w:pStyle w:val="null3"/>
      </w:pPr>
    </w:p>
    <w:p>
      <w:pPr>
        <w:pStyle w:val="null3"/>
      </w:pPr>
    </w:p>
    <w:p>
      <w:pPr>
        <w:pStyle w:val="null3"/>
      </w:pPr>
      <w:r>
        <w:rPr/>
        <w:t>采购包1：</w:t>
      </w:r>
    </w:p>
    <w:p>
      <w:pPr>
        <w:pStyle w:val="null3"/>
      </w:pPr>
      <w:r>
        <w:rPr/>
        <w:t>分期付款</w:t>
      </w:r>
    </w:p>
    <w:p>
      <w:pPr>
        <w:pStyle w:val="null3"/>
      </w:pPr>
      <w:r>
        <w:rPr>
          <w:b/>
          <w:sz w:val="24"/>
        </w:rPr>
        <w:t>3.4.4支付约定</w:t>
      </w:r>
    </w:p>
    <w:p>
      <w:pPr>
        <w:pStyle w:val="null3"/>
      </w:pPr>
    </w:p>
    <w:p>
      <w:pPr>
        <w:pStyle w:val="null3"/>
      </w:pPr>
    </w:p>
    <w:p>
      <w:pPr>
        <w:pStyle w:val="null3"/>
      </w:pPr>
    </w:p>
    <w:p>
      <w:pPr>
        <w:pStyle w:val="null3"/>
      </w:pPr>
      <w:r>
        <w:rPr/>
        <w:t>采购包1：</w:t>
      </w:r>
      <w:r>
        <w:rPr/>
        <w:t>付款条件说明：</w:t>
      </w:r>
      <w:r>
        <w:rPr/>
        <w:t>合同签订生效后后且供应商向采购人出具合法有效的增值税发票后</w:t>
      </w:r>
      <w:r>
        <w:rPr/>
        <w:t>，达到付款条件起</w:t>
      </w:r>
      <w:r>
        <w:rPr/>
        <w:t>10</w:t>
      </w:r>
      <w:r>
        <w:rPr/>
        <w:t>日，支付合同总金额的</w:t>
      </w:r>
      <w:r>
        <w:rPr/>
        <w:t>40.00</w:t>
      </w:r>
      <w:r>
        <w:rPr/>
        <w:t>%。</w:t>
      </w:r>
    </w:p>
    <w:p>
      <w:pPr>
        <w:pStyle w:val="null3"/>
      </w:pPr>
      <w:r>
        <w:rPr/>
        <w:t>采购包1：</w:t>
      </w:r>
      <w:r>
        <w:rPr/>
        <w:t>付款条件说明：</w:t>
      </w:r>
      <w:r>
        <w:rPr/>
        <w:t>全部货物配送到现场，经过建设单位验收，采购人接到中标供应商请款通知与票据凭证资料后</w:t>
      </w:r>
      <w:r>
        <w:rPr/>
        <w:t>，达到付款条件起</w:t>
      </w:r>
      <w:r>
        <w:rPr/>
        <w:t>10</w:t>
      </w:r>
      <w:r>
        <w:rPr/>
        <w:t>日，支付合同总金额的</w:t>
      </w:r>
      <w:r>
        <w:rPr/>
        <w:t>50.00</w:t>
      </w:r>
      <w:r>
        <w:rPr/>
        <w:t>%。</w:t>
      </w:r>
    </w:p>
    <w:p>
      <w:pPr>
        <w:pStyle w:val="null3"/>
      </w:pPr>
      <w:r>
        <w:rPr/>
        <w:t>采购包1：</w:t>
      </w:r>
      <w:r>
        <w:rPr/>
        <w:t>付款条件说明：</w:t>
      </w:r>
      <w:r>
        <w:rPr/>
        <w:t>全部货物安装调试完毕并最终验收合格后，采购人接到中标供应商请款通知与票据凭证资料后</w:t>
      </w:r>
      <w:r>
        <w:rPr/>
        <w:t>，达到付款条件起</w:t>
      </w:r>
      <w:r>
        <w:rPr/>
        <w:t>10</w:t>
      </w:r>
      <w:r>
        <w:rPr/>
        <w:t>日，支付合同总金额的</w:t>
      </w:r>
      <w:r>
        <w:rPr/>
        <w:t>10.00</w:t>
      </w:r>
      <w:r>
        <w:rPr/>
        <w:t>%。</w:t>
      </w:r>
    </w:p>
    <w:p>
      <w:pPr>
        <w:pStyle w:val="null3"/>
      </w:pPr>
      <w:r>
        <w:rPr>
          <w:b/>
          <w:sz w:val="24"/>
        </w:rPr>
        <w:t>3.4.5验收标准和方法</w:t>
      </w:r>
    </w:p>
    <w:p>
      <w:pPr>
        <w:pStyle w:val="null3"/>
      </w:pPr>
    </w:p>
    <w:p>
      <w:pPr>
        <w:pStyle w:val="null3"/>
      </w:pPr>
    </w:p>
    <w:p>
      <w:pPr>
        <w:pStyle w:val="null3"/>
      </w:pPr>
    </w:p>
    <w:p>
      <w:pPr>
        <w:pStyle w:val="null3"/>
      </w:pPr>
      <w:r>
        <w:rPr/>
        <w:t>采购包1：</w:t>
      </w:r>
    </w:p>
    <w:p>
      <w:pPr>
        <w:pStyle w:val="null3"/>
      </w:pPr>
      <w:r>
        <w:rPr/>
        <w:t>本项目采购人将严格按照政府采购相关法律法规以及《财政部关于进一步加强政府采购需求和履约验收管理的指导意见》（财库〔2016〕205 号）的要求组织验收。</w:t>
      </w:r>
    </w:p>
    <w:p>
      <w:pPr>
        <w:pStyle w:val="null3"/>
      </w:pPr>
      <w:r>
        <w:rPr>
          <w:b/>
          <w:sz w:val="24"/>
        </w:rPr>
        <w:t>3.4.6包装方式及运输</w:t>
      </w:r>
    </w:p>
    <w:p>
      <w:pPr>
        <w:pStyle w:val="null3"/>
      </w:pP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b/>
          <w:sz w:val="24"/>
        </w:rPr>
        <w:t>3.4.7质量保修范围和保修期</w:t>
      </w:r>
    </w:p>
    <w:p>
      <w:pPr>
        <w:pStyle w:val="null3"/>
      </w:pPr>
    </w:p>
    <w:p>
      <w:pPr>
        <w:pStyle w:val="null3"/>
      </w:pPr>
    </w:p>
    <w:p>
      <w:pPr>
        <w:pStyle w:val="null3"/>
      </w:pPr>
    </w:p>
    <w:p>
      <w:pPr>
        <w:pStyle w:val="null3"/>
      </w:pPr>
      <w:r>
        <w:rPr/>
        <w:t>采购包1：</w:t>
      </w:r>
    </w:p>
    <w:p>
      <w:pPr>
        <w:pStyle w:val="null3"/>
      </w:pPr>
      <w:r>
        <w:rPr/>
        <w:t>按合同约定执行</w:t>
      </w:r>
    </w:p>
    <w:p>
      <w:pPr>
        <w:pStyle w:val="null3"/>
      </w:pPr>
      <w:r>
        <w:rPr>
          <w:b/>
          <w:sz w:val="24"/>
        </w:rPr>
        <w:t>3.4.8违约责任及解决争议的方法</w:t>
      </w:r>
    </w:p>
    <w:p>
      <w:pPr>
        <w:pStyle w:val="null3"/>
      </w:pPr>
    </w:p>
    <w:p>
      <w:pPr>
        <w:pStyle w:val="null3"/>
      </w:pPr>
    </w:p>
    <w:p>
      <w:pPr>
        <w:pStyle w:val="null3"/>
      </w:pPr>
    </w:p>
    <w:p>
      <w:pPr>
        <w:pStyle w:val="null3"/>
      </w:pPr>
      <w:r>
        <w:rPr/>
        <w:t>采购包1：</w:t>
      </w:r>
    </w:p>
    <w:p>
      <w:pPr>
        <w:pStyle w:val="null3"/>
      </w:pPr>
      <w:r>
        <w:rPr/>
        <w:t>1.采购人及中标人双方必须遵守本政府采购合同并执行合同中的各项规定，保证本合同的正常履行。 2.如因中标人的工作人员在履行职务过程中的的疏忽、失职、过错等故意或者过失原因给采购人造成损失或侵害，包括但不限于采购人本身的财产损失、由此而导致的采购人对任何第三方的法律责任等，中标人对此均应承担全部的赔偿责任。解决争议的方法： 在执行本合同中发生的或与本合同有关的争端，双方应通过友好协商解决，经协商在30天内不能达成协议时，应提交成都仲裁委员会仲裁。仲裁裁决应为最终决定，并对双方具有约束力。</w:t>
      </w:r>
    </w:p>
    <w:p>
      <w:pPr>
        <w:pStyle w:val="null3"/>
        <w:jc w:val="left"/>
      </w:pPr>
      <w:r>
        <w:rPr>
          <w:b/>
          <w:sz w:val="24"/>
        </w:rPr>
        <w:t>3.5其他要求</w:t>
      </w:r>
    </w:p>
    <w:p>
      <w:pPr>
        <w:pStyle w:val="null3"/>
      </w:pPr>
    </w:p>
    <w:p>
      <w:pPr>
        <w:pStyle w:val="null3"/>
      </w:pPr>
    </w:p>
    <w:p>
      <w:pPr>
        <w:pStyle w:val="null3"/>
      </w:pPr>
    </w:p>
    <w:p>
      <w:pPr>
        <w:pStyle w:val="null3"/>
      </w:pPr>
      <w:r>
        <w:rPr/>
        <w:t>采购包1：</w:t>
      </w:r>
    </w:p>
    <w:p>
      <w:pPr>
        <w:pStyle w:val="null3"/>
      </w:pPr>
      <w:r>
        <w:rPr/>
        <w:t>履约验收方案 1）验收组织方式：自行验收 2）是否邀请本项目的其他供应商：否 3）是否邀请专家：否 4）是否邀请服务对象：否 5）是否邀请第三方检测机构：否 6）履约验收程序：一次性验收 7）履约验收时间： 供应商提出验收申请之日起7日内组织验收 8）验收组织的其他事项：按合同及国家相关规定执行。 9）技术履约验收内容：按合同及国家相关规定执行。 10）商务履约验收内容：按合同及国家相关规定执行。 11）履约验收标准：严格按照《财政部关于进一步加强政府采购需求和履约验收管理的指导意见》（财库〔2016〕205号）等政府采购相关法律法规的要求进行验收。 12）履约验收其他事项：按合同及国家相关规定执行。：</w:t>
      </w:r>
    </w:p>
    <w:p>
      <w:pPr>
        <w:pStyle w:val="null3"/>
      </w:pPr>
    </w:p>
    <w:p>
      <w:pPr>
        <w:pStyle w:val="null3"/>
      </w:pPr>
      <w:r>
        <w:rPr/>
        <w:t xml:space="preserve"> </w:t>
      </w:r>
    </w:p>
    <w:p>
      <w:pPr>
        <w:pStyle w:val="null3"/>
        <w:jc w:val="center"/>
      </w:pPr>
      <w:r>
        <w:rPr>
          <w:b/>
          <w:sz w:val="36"/>
        </w:rPr>
        <w:t>第四章 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pPr>
    </w:p>
    <w:p>
      <w:pPr>
        <w:pStyle w:val="null3"/>
      </w:pPr>
      <w:r>
        <w:rPr/>
        <w:t xml:space="preserve"> </w:t>
      </w:r>
    </w:p>
    <w:p>
      <w:pPr>
        <w:pStyle w:val="null3"/>
        <w:jc w:val="center"/>
      </w:pPr>
      <w:r>
        <w:rPr>
          <w:b/>
          <w:sz w:val="36"/>
        </w:rPr>
        <w:t>第五章 谈判办法</w:t>
      </w:r>
    </w:p>
    <w:p>
      <w:pPr>
        <w:pStyle w:val="null3"/>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pPr>
      <w:r>
        <w:rPr>
          <w:b/>
          <w:sz w:val="28"/>
        </w:rPr>
        <w:t>5.3评审程序</w:t>
      </w:r>
    </w:p>
    <w:p>
      <w:pPr>
        <w:pStyle w:val="nul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的，可以书面报告采购项目同级财政部门依法处理，并提供相关证明材料。</w:t>
      </w:r>
    </w:p>
    <w:p>
      <w:pPr>
        <w:pStyle w:val="null3"/>
      </w:pPr>
      <w:r>
        <w:rPr>
          <w:b/>
          <w:sz w:val="24"/>
        </w:rPr>
        <w:t>5.3.2资格审查</w:t>
      </w:r>
    </w:p>
    <w:p>
      <w:pPr>
        <w:pStyle w:val="null3"/>
      </w:pPr>
    </w:p>
    <w:p>
      <w:pPr>
        <w:pStyle w:val="null3"/>
      </w:pPr>
    </w:p>
    <w:p>
      <w:pPr>
        <w:pStyle w:val="null3"/>
        <w:ind w:firstLine="480"/>
      </w:pPr>
      <w:r>
        <w:rPr/>
        <w:t>响应文件解密完成后，由谈判小组对提交响应文件的供应商进行资格审查。谈判小组在资格审查过程中，谈判小组成员对供应商资格是否符合规定存在争议的，应当以少数服从多数的原则处理，但不得违反政府采购法和竞争性谈判文件规定。</w:t>
      </w:r>
    </w:p>
    <w:p>
      <w:pPr>
        <w:pStyle w:val="null3"/>
      </w:pPr>
      <w:r>
        <w:rPr>
          <w:b/>
          <w:sz w:val="24"/>
        </w:rPr>
        <w:t>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具有独立承担民事责任的能力。</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2</w:t>
            </w:r>
          </w:p>
        </w:tc>
        <w:tc>
          <w:tcPr>
            <w:tcW w:type="dxa" w:w="2492"/>
          </w:tcPr>
          <w:p>
            <w:r>
              <w:rPr/>
              <w:t>具有良好的商业信誉</w:t>
            </w:r>
          </w:p>
        </w:tc>
        <w:tc>
          <w:tcPr>
            <w:tcW w:type="dxa" w:w="3322"/>
          </w:tcPr>
          <w:p>
            <w:r>
              <w:rPr/>
              <w:t>供应商需在项目电子化交易系统中按要求填写《投标（响应）函》完成承诺并进行电子签章。</w:t>
            </w:r>
          </w:p>
        </w:tc>
        <w:tc>
          <w:tcPr>
            <w:tcW w:type="dxa" w:w="1661"/>
          </w:tcPr>
          <w:p>
            <w:r>
              <w:rPr/>
              <w:t>响应文件封面 投标（响应）函</w:t>
            </w:r>
          </w:p>
        </w:tc>
      </w:tr>
      <w:tr>
        <w:tc>
          <w:tcPr>
            <w:tcW w:type="dxa" w:w="831"/>
          </w:tcPr>
          <w:p>
            <w:r>
              <w:rPr/>
              <w:t>3</w:t>
            </w:r>
          </w:p>
        </w:tc>
        <w:tc>
          <w:tcPr>
            <w:tcW w:type="dxa" w:w="2492"/>
          </w:tcPr>
          <w:p>
            <w:r>
              <w:rPr/>
              <w:t>具有健全的财务会计制度。</w:t>
            </w:r>
          </w:p>
        </w:tc>
        <w:tc>
          <w:tcPr>
            <w:tcW w:type="dxa" w:w="3322"/>
          </w:tcPr>
          <w:p>
            <w:r>
              <w:rPr/>
              <w:t>①可提供2020或2021年度经审计的财务报告（包含审计报告和审计报告中所涉及的财务报表和报表附注），②可提供2020或2021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供应商需在项目电子化交易系统中按要求上传相应证明文件并进行电子签章。</w:t>
            </w:r>
          </w:p>
        </w:tc>
        <w:tc>
          <w:tcPr>
            <w:tcW w:type="dxa" w:w="1661"/>
          </w:tcPr>
          <w:p>
            <w:r>
              <w:rPr/>
              <w:t>其它证明材料</w:t>
            </w:r>
          </w:p>
        </w:tc>
      </w:tr>
      <w:tr>
        <w:tc>
          <w:tcPr>
            <w:tcW w:type="dxa" w:w="831"/>
          </w:tcPr>
          <w:p>
            <w:r>
              <w:rPr/>
              <w:t>4</w:t>
            </w:r>
          </w:p>
        </w:tc>
        <w:tc>
          <w:tcPr>
            <w:tcW w:type="dxa" w:w="2492"/>
          </w:tcPr>
          <w:p>
            <w:r>
              <w:rPr/>
              <w:t>具有履行合同所必需的设备和专业技术能力。</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5</w:t>
            </w:r>
          </w:p>
        </w:tc>
        <w:tc>
          <w:tcPr>
            <w:tcW w:type="dxa" w:w="2492"/>
          </w:tcPr>
          <w:p>
            <w:r>
              <w:rPr/>
              <w:t>有依法缴纳税收和社会保障资金的良好记录。</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6</w:t>
            </w:r>
          </w:p>
        </w:tc>
        <w:tc>
          <w:tcPr>
            <w:tcW w:type="dxa" w:w="2492"/>
          </w:tcPr>
          <w:p>
            <w:r>
              <w:rPr/>
              <w:t>参加政府采购活动前三年内，在经营活动中没有重大违法记录。</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7</w:t>
            </w:r>
          </w:p>
        </w:tc>
        <w:tc>
          <w:tcPr>
            <w:tcW w:type="dxa" w:w="2492"/>
          </w:tcPr>
          <w:p>
            <w:r>
              <w:rPr/>
              <w:t>不存在与单位负责人为同一人或者存在直接控股、管理关系的其他供应商参与同一合同项下的政府采购活动的行为。</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8</w:t>
            </w:r>
          </w:p>
        </w:tc>
        <w:tc>
          <w:tcPr>
            <w:tcW w:type="dxa" w:w="2492"/>
          </w:tcPr>
          <w:p>
            <w:r>
              <w:rPr/>
              <w:t>不属于为本项目提供整体设计、规范编制或者项目管理、监理、检测等服务的供应商。</w:t>
            </w:r>
          </w:p>
        </w:tc>
        <w:tc>
          <w:tcPr>
            <w:tcW w:type="dxa" w:w="3322"/>
          </w:tcPr>
          <w:p>
            <w:r>
              <w:rPr/>
              <w:t>供应商需在项目电子化交易系统中按要求填写《投标（响应）函》完成承诺并进行电子签章。</w:t>
            </w:r>
          </w:p>
        </w:tc>
        <w:tc>
          <w:tcPr>
            <w:tcW w:type="dxa" w:w="1661"/>
          </w:tcPr>
          <w:p>
            <w:r>
              <w:rPr/>
              <w:t>投标（响应）函</w:t>
            </w:r>
          </w:p>
        </w:tc>
      </w:tr>
    </w:tbl>
    <w:p>
      <w:pPr>
        <w:pStyle w:val="null3"/>
      </w:pPr>
      <w:r>
        <w:rPr>
          <w:b/>
          <w:sz w:val="24"/>
        </w:rPr>
        <w:t>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06"/>
            <w:gridSpan w:val="4"/>
          </w:tcPr>
          <w:p>
            <w:r>
              <w:rPr/>
              <w:t>无</w:t>
            </w:r>
          </w:p>
        </w:tc>
      </w:tr>
    </w:tbl>
    <w:p>
      <w:pPr>
        <w:pStyle w:val="null3"/>
      </w:pPr>
      <w:r>
        <w:rPr>
          <w:b/>
          <w:sz w:val="24"/>
        </w:rPr>
        <w:t>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06"/>
            <w:gridSpan w:val="4"/>
          </w:tcPr>
          <w:p>
            <w:r>
              <w:rPr/>
              <w:t>无</w:t>
            </w:r>
          </w:p>
        </w:tc>
      </w:tr>
    </w:tbl>
    <w:p>
      <w:pPr>
        <w:pStyle w:val="null3"/>
      </w:pPr>
    </w:p>
    <w:p>
      <w:pPr>
        <w:pStyle w:val="null3"/>
      </w:pPr>
      <w:r>
        <w:rPr/>
        <w:t xml:space="preserve"> </w:t>
      </w:r>
    </w:p>
    <w:p>
      <w:pPr>
        <w:pStyle w:val="null3"/>
      </w:pPr>
      <w:r>
        <w:rPr>
          <w:b/>
          <w:sz w:val="24"/>
        </w:rPr>
        <w:t>5.3.3符合性审查</w:t>
      </w:r>
    </w:p>
    <w:p>
      <w:pPr>
        <w:pStyle w:val="null3"/>
        <w:ind w:firstLine="480"/>
      </w:pPr>
      <w:r>
        <w:rPr/>
        <w:t>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在符合性审查过程中，如果出现谈判小组成员意见不一致的情况，按照少数服从多数的原则确定，但不得违背政府采购基本原则和谈判文件规定。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符合审查要求概况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不正当竞争预防措施（实质性要求）</w:t>
            </w:r>
          </w:p>
        </w:tc>
        <w:tc>
          <w:tcPr>
            <w:tcW w:type="dxa" w:w="3322"/>
          </w:tcPr>
          <w:p>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c>
          <w:tcPr>
            <w:tcW w:type="dxa" w:w="1661"/>
          </w:tcPr>
          <w:p>
            <w:r>
              <w:rPr/>
              <w:t>分项报价表 报价表</w:t>
            </w:r>
          </w:p>
        </w:tc>
      </w:tr>
      <w:tr>
        <w:tc>
          <w:tcPr>
            <w:tcW w:type="dxa" w:w="831"/>
          </w:tcPr>
          <w:p>
            <w:r>
              <w:rPr/>
              <w:t>2</w:t>
            </w:r>
          </w:p>
        </w:tc>
        <w:tc>
          <w:tcPr>
            <w:tcW w:type="dxa" w:w="2492"/>
          </w:tcPr>
          <w:p>
            <w:r>
              <w:rPr/>
              <w:t>满足本项目的实质性要求。</w:t>
            </w:r>
          </w:p>
        </w:tc>
        <w:tc>
          <w:tcPr>
            <w:tcW w:type="dxa" w:w="3322"/>
          </w:tcPr>
          <w:p>
            <w:r>
              <w:rPr/>
              <w:t>满足本项目的实质性要求。</w:t>
            </w:r>
          </w:p>
        </w:tc>
        <w:tc>
          <w:tcPr>
            <w:tcW w:type="dxa" w:w="1661"/>
          </w:tcPr>
          <w:p>
            <w:r>
              <w:rPr/>
              <w:t>产品技术参数响应表 商务应答表 其它证明材料 投标（响应）函</w:t>
            </w:r>
          </w:p>
        </w:tc>
      </w:tr>
    </w:tbl>
    <w:p>
      <w:pPr>
        <w:pStyle w:val="null3"/>
      </w:pPr>
      <w:r>
        <w:rPr>
          <w:b/>
          <w:sz w:val="24"/>
        </w:rPr>
        <w:t>5.3.4谈判</w:t>
      </w:r>
    </w:p>
    <w:p>
      <w:pPr>
        <w:pStyle w:val="null3"/>
        <w:ind w:firstLine="480"/>
      </w:pPr>
      <w:r>
        <w:rPr/>
        <w:t>一、谈判小组按照谈判文件的规定与邀请参加谈判的供应商分别进行谈判，谈判顺序由谈判小组确定。</w:t>
      </w:r>
    </w:p>
    <w:p>
      <w:pPr>
        <w:pStyle w:val="null3"/>
        <w:ind w:firstLine="480"/>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七、谈判过程中，谈判的任何一方不得透露与谈判有关的其他供应商的技术资料、价格和其他信息。</w:t>
      </w:r>
    </w:p>
    <w:p>
      <w:pPr>
        <w:pStyle w:val="null3"/>
        <w:ind w:firstLine="480"/>
      </w:pPr>
      <w:r>
        <w:rPr/>
        <w:t>八、谈判过程中，谈判小组发现或者知晓供应商存在违法行为的，应当谈判报告中予以记录，并向本级财政部门报告，依法应将该供应商响应文件作无效处理的，应当作无效处理。</w:t>
      </w:r>
    </w:p>
    <w:p>
      <w:pPr>
        <w:pStyle w:val="null3"/>
      </w:pPr>
      <w:r>
        <w:rPr>
          <w:b/>
          <w:sz w:val="24"/>
        </w:rPr>
        <w:t>5.3.5最后报价</w:t>
      </w:r>
    </w:p>
    <w:p>
      <w:pPr>
        <w:pStyle w:val="null3"/>
        <w:ind w:firstLine="480"/>
      </w:pPr>
      <w:r>
        <w:rPr/>
        <w:t>一、方案评审</w:t>
      </w:r>
    </w:p>
    <w:p>
      <w:pPr>
        <w:pStyle w:val="null3"/>
      </w:pPr>
    </w:p>
    <w:p>
      <w:pPr>
        <w:pStyle w:val="null3"/>
      </w:pP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四、供应商未在响应文件提交截止时间内提交报价或未按要求进行报价的，视为无效响应，由供应商自行承担不利后果。</w:t>
      </w:r>
    </w:p>
    <w:p>
      <w:pPr>
        <w:pStyle w:val="null3"/>
        <w:ind w:firstLine="480"/>
      </w:pPr>
      <w:r>
        <w:rPr/>
        <w:t>五、供应商未按谈判小组要求在规定时间内提交最后报价的，视为其退出谈判。</w:t>
      </w:r>
    </w:p>
    <w:p>
      <w:pPr>
        <w:pStyle w:val="null3"/>
        <w:ind w:firstLine="480"/>
      </w:pPr>
      <w:r>
        <w:rPr/>
        <w:t>六、最后报价一旦提交后，供应商不得以任何理由撤回。</w:t>
      </w:r>
    </w:p>
    <w:p>
      <w:pPr>
        <w:pStyle w:val="null3"/>
        <w:ind w:firstLine="480"/>
        <w:jc w:val="left"/>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r>
              <w:rPr/>
              <w:t>序号</w:t>
            </w:r>
          </w:p>
        </w:tc>
        <w:tc>
          <w:tcPr>
            <w:tcW w:type="dxa" w:w="1661"/>
          </w:tcPr>
          <w:p>
            <w:r>
              <w:rPr/>
              <w:t>情形</w:t>
            </w:r>
          </w:p>
        </w:tc>
        <w:tc>
          <w:tcPr>
            <w:tcW w:type="dxa" w:w="1661"/>
          </w:tcPr>
          <w:p>
            <w:r>
              <w:rPr/>
              <w:t>适用对象</w:t>
            </w:r>
          </w:p>
        </w:tc>
        <w:tc>
          <w:tcPr>
            <w:tcW w:type="dxa" w:w="831"/>
          </w:tcPr>
          <w:p>
            <w:r>
              <w:rPr/>
              <w:t>比例</w:t>
            </w:r>
          </w:p>
        </w:tc>
        <w:tc>
          <w:tcPr>
            <w:tcW w:type="dxa" w:w="1661"/>
          </w:tcPr>
          <w:p>
            <w:r>
              <w:rPr/>
              <w:t>说明</w:t>
            </w:r>
          </w:p>
        </w:tc>
        <w:tc>
          <w:tcPr>
            <w:tcW w:type="dxa" w:w="1661"/>
          </w:tcPr>
          <w:p>
            <w:r>
              <w:rPr/>
              <w:t>关联格式</w:t>
            </w:r>
          </w:p>
        </w:tc>
      </w:tr>
      <w:tr>
        <w:tc>
          <w:tcPr>
            <w:tcW w:type="dxa" w:w="831"/>
          </w:tcPr>
          <w:p>
            <w:r>
              <w:rPr/>
              <w:t>1</w:t>
            </w:r>
          </w:p>
        </w:tc>
        <w:tc>
          <w:tcPr>
            <w:tcW w:type="dxa" w:w="1661"/>
          </w:tcPr>
          <w:p>
            <w:r>
              <w:rPr/>
              <w:t>小型、微型企业，监狱企业，残疾人福利性单位</w:t>
            </w:r>
          </w:p>
        </w:tc>
        <w:tc>
          <w:tcPr>
            <w:tcW w:type="dxa" w:w="1661"/>
          </w:tcPr>
          <w:p>
            <w:r>
              <w:rPr/>
              <w:t>投标人或联合体成员均为小型、微型企业</w:t>
            </w:r>
          </w:p>
        </w:tc>
        <w:tc>
          <w:tcPr>
            <w:tcW w:type="dxa" w:w="831"/>
          </w:tcPr>
          <w:p>
            <w:pPr>
              <w:jc w:val="right"/>
            </w:pPr>
            <w:r>
              <w:rPr/>
              <w:t>10.00%</w:t>
            </w:r>
          </w:p>
        </w:tc>
        <w:tc>
          <w:tcPr>
            <w:tcW w:type="dxa" w:w="1661"/>
          </w:tcPr>
          <w:p>
            <w:r>
              <w:rPr/>
              <w:t>对于经主管预算单位统筹后未预 留份额专门面向中小企业采购的 采购项目，以及预留份额项目中 的非预留部分采购包，对符合 《政府采购促进中小企业发展管 理办法》（财库〔2020〕46号） 规定小微企业报价给予C1的扣 除，用扣除后的价格参加评审。 货物由小微企业制造，即货物由 小微企业生产且使用该小微企业 商号或者注册商标时，给予10% 的价格扣除C1，即：评标价=核 实价×（1-C1）;监狱企业与残 疾人福利性单位视同小型、微型 企业，享受同等价格扣除，当企 业属性重复时，不重复价格扣除。</w:t>
            </w:r>
          </w:p>
        </w:tc>
        <w:tc>
          <w:tcPr>
            <w:tcW w:type="dxa" w:w="1661"/>
          </w:tcPr>
          <w:p>
            <w:r>
              <w:rPr/>
              <w:t>中小企业声明函 残疾人福利性单位声明函 监狱企业的证明文件</w:t>
            </w:r>
          </w:p>
        </w:tc>
      </w:tr>
    </w:tbl>
    <w:p>
      <w:pPr>
        <w:pStyle w:val="null3"/>
      </w:pPr>
      <w:r>
        <w:rPr>
          <w:b/>
          <w:sz w:val="24"/>
        </w:rPr>
        <w:t>5.3.7解释、澄清、说明的有关问题</w:t>
      </w:r>
    </w:p>
    <w:p>
      <w:pPr>
        <w:pStyle w:val="null3"/>
        <w:ind w:firstLine="480"/>
      </w:pPr>
      <w:r>
        <w:rPr/>
        <w:t>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pPr>
      <w:r>
        <w:rPr>
          <w:b/>
          <w:sz w:val="24"/>
        </w:rPr>
        <w:t>5.3.8复核</w:t>
      </w:r>
    </w:p>
    <w:p>
      <w:pPr>
        <w:pStyle w:val="null3"/>
        <w:ind w:firstLine="480"/>
      </w:pPr>
      <w:r>
        <w:rPr/>
        <w:t>一、评审结束后，谈判小组应当进行复核，特别要对拟推荐为成交供应商的、报价最低的、响应文件被认定为无效的进行重点复核。</w:t>
      </w:r>
    </w:p>
    <w:p>
      <w:pPr>
        <w:pStyle w:val="null3"/>
        <w:ind w:firstLine="480"/>
      </w:pPr>
      <w:r>
        <w:rPr/>
        <w:t>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pPr>
      <w:r>
        <w:rPr>
          <w:b/>
          <w:sz w:val="24"/>
        </w:rPr>
        <w:t>5.3.10编写谈判报告</w:t>
      </w:r>
    </w:p>
    <w:p>
      <w:pPr>
        <w:pStyle w:val="null3"/>
        <w:ind w:firstLine="480"/>
      </w:pPr>
      <w:r>
        <w:rPr/>
        <w:t>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pPr>
      <w:r>
        <w:rPr>
          <w:b/>
          <w:sz w:val="24"/>
        </w:rPr>
        <w:t>5.3.11谈判异议处理规则</w:t>
      </w:r>
    </w:p>
    <w:p>
      <w:pPr>
        <w:pStyle w:val="null3"/>
        <w:ind w:firstLine="480"/>
      </w:pPr>
      <w:r>
        <w:rPr/>
        <w:t>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pPr>
      <w:r>
        <w:rPr>
          <w:b/>
          <w:sz w:val="28"/>
        </w:rPr>
        <w:t>5.4、终止采购活动情形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pPr>
      <w:r>
        <w:rPr>
          <w:b/>
          <w:sz w:val="28"/>
        </w:rPr>
        <w:t>5.6、谈判小组成员义务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pPr>
      <w:r>
        <w:rPr>
          <w:b/>
          <w:sz w:val="28"/>
        </w:rPr>
        <w:t>5.7、谈判纪律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jc w:val="center"/>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详见附件：其它证明材料</w:t>
      </w:r>
    </w:p>
    <w:p>
      <w:pPr>
        <w:pStyle w:val="null3"/>
      </w:pPr>
    </w:p>
    <w:p>
      <w:pPr>
        <w:pStyle w:val="null3"/>
      </w:pPr>
      <w:r>
        <w:rPr/>
        <w:t xml:space="preserve"> </w:t>
      </w:r>
    </w:p>
    <w:p>
      <w:pPr>
        <w:pStyle w:val="null3"/>
        <w:jc w:val="center"/>
      </w:pPr>
      <w:r>
        <w:rPr>
          <w:b/>
          <w:sz w:val="36"/>
        </w:rPr>
        <w:t>第七章 拟签订采购合同文本</w:t>
      </w:r>
    </w:p>
    <w:p>
      <w:pPr>
        <w:pStyle w:val="null3"/>
      </w:pPr>
    </w:p>
    <w:p>
      <w:pPr>
        <w:pStyle w:val="null3"/>
      </w:pPr>
    </w:p>
    <w:p>
      <w:pPr>
        <w:pStyle w:val="null3"/>
      </w:pPr>
      <w:r>
        <w:rPr/>
        <w:t>详见附件：合同样本.docx</w:t>
      </w:r>
    </w:p>
    <w:p>
      <w:pPr>
        <w:pStyle w:val="null3"/>
      </w:pPr>
    </w:p>
    <w:p>
      <w:pPr>
        <w:pStyle w:val="null3"/>
      </w:pPr>
      <w:r>
        <w:rPr/>
        <w:t xml:space="preserve"> </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